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226" w:rsidRDefault="00FB62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1"/>
        <w:gridCol w:w="6535"/>
      </w:tblGrid>
      <w:tr w:rsidR="00610043" w:rsidRPr="00E1552A" w:rsidTr="00610043">
        <w:tc>
          <w:tcPr>
            <w:tcW w:w="0" w:type="auto"/>
            <w:shd w:val="clear" w:color="auto" w:fill="auto"/>
          </w:tcPr>
          <w:p w:rsidR="00610043" w:rsidRPr="00B50B8E" w:rsidRDefault="00610043" w:rsidP="00275851"/>
          <w:p w:rsidR="00610043" w:rsidRPr="00B50B8E" w:rsidRDefault="00610043" w:rsidP="00275851">
            <w:pPr>
              <w:rPr>
                <w:b/>
              </w:rPr>
            </w:pPr>
            <w:r w:rsidRPr="00B50B8E">
              <w:rPr>
                <w:b/>
                <w:u w:val="single"/>
              </w:rPr>
              <w:t>General</w:t>
            </w:r>
            <w:r w:rsidRPr="00B50B8E">
              <w:rPr>
                <w:b/>
              </w:rPr>
              <w:t>:</w:t>
            </w:r>
          </w:p>
          <w:p w:rsidR="00610043" w:rsidRPr="00B50B8E" w:rsidRDefault="00610043" w:rsidP="00275851"/>
          <w:p w:rsidR="00610043" w:rsidRPr="00B50B8E" w:rsidRDefault="00610043" w:rsidP="00275851">
            <w:r w:rsidRPr="00B50B8E">
              <w:t>12 Chapters.</w:t>
            </w:r>
          </w:p>
          <w:p w:rsidR="00610043" w:rsidRPr="00B50B8E" w:rsidRDefault="00610043" w:rsidP="00275851"/>
          <w:p w:rsidR="00610043" w:rsidRPr="00B50B8E" w:rsidRDefault="00610043" w:rsidP="00275851">
            <w:r w:rsidRPr="00B50B8E">
              <w:t>Included language from statutes and rules in body of Handbook.</w:t>
            </w:r>
          </w:p>
          <w:p w:rsidR="00610043" w:rsidRPr="00B50B8E" w:rsidRDefault="00610043" w:rsidP="00275851"/>
          <w:p w:rsidR="00610043" w:rsidRPr="00B50B8E" w:rsidRDefault="00610043" w:rsidP="00275851">
            <w:r w:rsidRPr="00B50B8E">
              <w:t>“Should” indicated both mandatory and non</w:t>
            </w:r>
            <w:r w:rsidR="00E42B8F">
              <w:t>-</w:t>
            </w:r>
            <w:r w:rsidRPr="00B50B8E">
              <w:t>mandatory trustee activities.</w:t>
            </w:r>
          </w:p>
          <w:p w:rsidR="00610043" w:rsidRPr="00B50B8E" w:rsidRDefault="00610043" w:rsidP="00275851"/>
          <w:p w:rsidR="00610043" w:rsidRPr="00B50B8E" w:rsidRDefault="00610043" w:rsidP="00275851">
            <w:r w:rsidRPr="00B50B8E">
              <w:t>No Practice Tips.</w:t>
            </w:r>
          </w:p>
          <w:p w:rsidR="00610043" w:rsidRPr="00B50B8E" w:rsidRDefault="00610043" w:rsidP="00275851"/>
          <w:p w:rsidR="00610043" w:rsidRPr="00B50B8E" w:rsidRDefault="00610043" w:rsidP="00275851">
            <w:r w:rsidRPr="00B50B8E">
              <w:t xml:space="preserve">Supplemental Materials are in </w:t>
            </w:r>
            <w:r w:rsidRPr="00B50B8E">
              <w:rPr>
                <w:u w:val="single"/>
              </w:rPr>
              <w:t>Appendices</w:t>
            </w:r>
            <w:r w:rsidRPr="00B50B8E">
              <w:t xml:space="preserve"> to the Handbook</w:t>
            </w:r>
          </w:p>
          <w:p w:rsidR="00610043" w:rsidRPr="00B50B8E" w:rsidRDefault="00610043" w:rsidP="00275851"/>
          <w:p w:rsidR="00610043" w:rsidRPr="00B50B8E" w:rsidRDefault="00610043" w:rsidP="00275851">
            <w:pPr>
              <w:rPr>
                <w:b/>
              </w:rPr>
            </w:pPr>
            <w:r w:rsidRPr="00B50B8E">
              <w:rPr>
                <w:b/>
                <w:u w:val="single"/>
              </w:rPr>
              <w:t>Duties of a Standing Trustee</w:t>
            </w:r>
            <w:r w:rsidRPr="00B50B8E">
              <w:rPr>
                <w:b/>
              </w:rPr>
              <w:t>:</w:t>
            </w:r>
          </w:p>
          <w:p w:rsidR="00610043" w:rsidRDefault="00610043" w:rsidP="00275851">
            <w:pPr>
              <w:rPr>
                <w:lang w:val="en-CA"/>
              </w:rPr>
            </w:pPr>
          </w:p>
          <w:p w:rsidR="00610043" w:rsidRPr="00B50B8E" w:rsidRDefault="00610043" w:rsidP="00275851">
            <w:pPr>
              <w:rPr>
                <w:b/>
              </w:rPr>
            </w:pPr>
            <w:r w:rsidRPr="00B50B8E">
              <w:rPr>
                <w:lang w:val="en-CA"/>
              </w:rPr>
              <w:fldChar w:fldCharType="begin"/>
            </w:r>
            <w:r w:rsidRPr="00B50B8E">
              <w:rPr>
                <w:lang w:val="en-CA"/>
              </w:rPr>
              <w:instrText xml:space="preserve"> SEQ CHAPTER \h \r 1</w:instrText>
            </w:r>
            <w:r w:rsidRPr="00B50B8E">
              <w:fldChar w:fldCharType="end"/>
            </w:r>
            <w:r w:rsidRPr="00B50B8E">
              <w:rPr>
                <w:lang w:val="en-CA"/>
              </w:rPr>
              <w:t>S</w:t>
            </w:r>
            <w:r w:rsidRPr="00B50B8E">
              <w:t xml:space="preserve">tanding trustee has a fiduciary responsibility to the </w:t>
            </w:r>
            <w:r w:rsidRPr="00B50B8E">
              <w:rPr>
                <w:u w:val="single"/>
              </w:rPr>
              <w:t>debtor and all classes of creditors in each case</w:t>
            </w:r>
            <w:r w:rsidRPr="00B50B8E">
              <w:t>. (page 3-1)</w:t>
            </w:r>
          </w:p>
          <w:p w:rsidR="00610043" w:rsidRDefault="00610043" w:rsidP="00275851">
            <w:pPr>
              <w:rPr>
                <w:b/>
                <w:u w:val="single"/>
              </w:rPr>
            </w:pPr>
          </w:p>
          <w:p w:rsidR="00610043" w:rsidRPr="00B50B8E" w:rsidRDefault="00610043" w:rsidP="00275851">
            <w:pPr>
              <w:rPr>
                <w:b/>
              </w:rPr>
            </w:pPr>
            <w:r w:rsidRPr="00B50B8E">
              <w:rPr>
                <w:b/>
                <w:u w:val="single"/>
              </w:rPr>
              <w:t>Screen for Conflicts</w:t>
            </w:r>
            <w:r w:rsidRPr="00B50B8E">
              <w:rPr>
                <w:b/>
              </w:rPr>
              <w:t>:</w:t>
            </w:r>
          </w:p>
          <w:p w:rsidR="00610043" w:rsidRPr="00B50B8E" w:rsidRDefault="00610043" w:rsidP="00275851">
            <w:pPr>
              <w:rPr>
                <w:b/>
              </w:rPr>
            </w:pPr>
          </w:p>
          <w:p w:rsidR="00610043" w:rsidRPr="00B50B8E" w:rsidRDefault="00610043" w:rsidP="00275851">
            <w:r w:rsidRPr="00B50B8E">
              <w:rPr>
                <w:lang w:val="en-CA"/>
              </w:rPr>
              <w:fldChar w:fldCharType="begin"/>
            </w:r>
            <w:r w:rsidRPr="00B50B8E">
              <w:rPr>
                <w:lang w:val="en-CA"/>
              </w:rPr>
              <w:instrText xml:space="preserve"> SEQ CHAPTER \h \r 1</w:instrText>
            </w:r>
            <w:r w:rsidRPr="00B50B8E">
              <w:rPr>
                <w:lang w:val="en-CA"/>
              </w:rPr>
              <w:fldChar w:fldCharType="end"/>
            </w:r>
            <w:r w:rsidRPr="00B50B8E">
              <w:t>If the standing trustee is otherwise engaged in another occupation or business, or is affiliated with an entity that conducts a business or practice</w:t>
            </w:r>
            <w:r w:rsidRPr="00B50B8E">
              <w:rPr>
                <w:u w:val="single"/>
              </w:rPr>
              <w:t xml:space="preserve"> that provides services or products</w:t>
            </w:r>
            <w:r w:rsidRPr="00B50B8E">
              <w:t xml:space="preserve"> to debtors or creditors, the standing trustee must promptly disclose in writing to the UST. (page 3-3)</w:t>
            </w:r>
          </w:p>
          <w:p w:rsidR="00610043" w:rsidRPr="00B50B8E" w:rsidRDefault="00610043" w:rsidP="00275851">
            <w:r w:rsidRPr="00B50B8E">
              <w:t xml:space="preserve"> </w:t>
            </w:r>
          </w:p>
          <w:p w:rsidR="00610043" w:rsidRPr="00B50B8E" w:rsidRDefault="00610043" w:rsidP="00275851">
            <w:r w:rsidRPr="00B50B8E">
              <w:rPr>
                <w:b/>
                <w:u w:val="single"/>
              </w:rPr>
              <w:lastRenderedPageBreak/>
              <w:t>Section 341(a) Meeting</w:t>
            </w:r>
            <w:r w:rsidRPr="00B50B8E">
              <w:t>:</w:t>
            </w:r>
          </w:p>
          <w:p w:rsidR="00610043" w:rsidRPr="00B50B8E" w:rsidRDefault="00610043" w:rsidP="00275851"/>
          <w:p w:rsidR="00610043" w:rsidRDefault="00610043" w:rsidP="00275851">
            <w:pPr>
              <w:rPr>
                <w:lang w:val="en-CA"/>
              </w:rPr>
            </w:pPr>
          </w:p>
          <w:p w:rsidR="00610043" w:rsidRDefault="00610043" w:rsidP="00275851">
            <w:pPr>
              <w:rPr>
                <w:lang w:val="en-CA"/>
              </w:rPr>
            </w:pPr>
          </w:p>
          <w:p w:rsidR="00FB6226" w:rsidRDefault="00FB6226" w:rsidP="00275851">
            <w:pPr>
              <w:rPr>
                <w:lang w:val="en-CA"/>
              </w:rPr>
            </w:pPr>
          </w:p>
          <w:p w:rsidR="00610043" w:rsidRDefault="00610043" w:rsidP="00275851">
            <w:pPr>
              <w:rPr>
                <w:lang w:val="en-CA"/>
              </w:rPr>
            </w:pPr>
          </w:p>
          <w:p w:rsidR="00610043" w:rsidRPr="00B50B8E" w:rsidRDefault="00610043" w:rsidP="00275851">
            <w:r w:rsidRPr="00B50B8E">
              <w:rPr>
                <w:lang w:val="en-CA"/>
              </w:rPr>
              <w:fldChar w:fldCharType="begin"/>
            </w:r>
            <w:r w:rsidRPr="00B50B8E">
              <w:rPr>
                <w:lang w:val="en-CA"/>
              </w:rPr>
              <w:instrText xml:space="preserve"> SEQ CHAPTER \h \r 1</w:instrText>
            </w:r>
            <w:r w:rsidRPr="00B50B8E">
              <w:rPr>
                <w:lang w:val="en-CA"/>
              </w:rPr>
              <w:fldChar w:fldCharType="end"/>
            </w:r>
            <w:r w:rsidRPr="00B50B8E">
              <w:t xml:space="preserve">If the standing trustee must continue the meeting, the standing trustee </w:t>
            </w:r>
            <w:r w:rsidRPr="00B50B8E">
              <w:rPr>
                <w:u w:val="single"/>
              </w:rPr>
              <w:t>should, if at all possible,</w:t>
            </w:r>
            <w:r w:rsidRPr="00B50B8E">
              <w:t xml:space="preserve"> announce the continued date to all parties present and advise the UST, if requested</w:t>
            </w:r>
            <w:r w:rsidRPr="008825C5">
              <w:rPr>
                <w:u w:val="single"/>
              </w:rPr>
              <w:t>, the clerk of the bankruptcy court, if necessary,</w:t>
            </w:r>
            <w:r>
              <w:t xml:space="preserve"> </w:t>
            </w:r>
            <w:r w:rsidRPr="00B50B8E">
              <w:t>of the continued date. (page 5-7)</w:t>
            </w:r>
          </w:p>
          <w:p w:rsidR="00610043" w:rsidRDefault="00610043" w:rsidP="00275851"/>
          <w:p w:rsidR="00FB6226" w:rsidRPr="00B50B8E" w:rsidRDefault="00FB6226" w:rsidP="00275851"/>
          <w:p w:rsidR="00610043" w:rsidRDefault="00610043" w:rsidP="00275851">
            <w:pPr>
              <w:rPr>
                <w:lang w:val="en-CA"/>
              </w:rPr>
            </w:pPr>
            <w:r>
              <w:rPr>
                <w:lang w:val="en-CA"/>
              </w:rPr>
              <w:t xml:space="preserve">In cases with incorrect SSN, standing trustee must instruct debtor to send “Notice of Correction” of SSN to UST. (page 5-5)  </w:t>
            </w:r>
          </w:p>
          <w:p w:rsidR="00610043" w:rsidRDefault="00610043" w:rsidP="00275851">
            <w:pPr>
              <w:rPr>
                <w:lang w:val="en-CA"/>
              </w:rPr>
            </w:pPr>
          </w:p>
          <w:p w:rsidR="00610043" w:rsidRDefault="00610043" w:rsidP="00275851">
            <w:pPr>
              <w:rPr>
                <w:lang w:val="en-CA"/>
              </w:rPr>
            </w:pPr>
          </w:p>
          <w:p w:rsidR="00610043" w:rsidRPr="00B50B8E" w:rsidRDefault="00610043" w:rsidP="00275851">
            <w:r w:rsidRPr="0044155A">
              <w:t>The recording shall be maintained in accordance with FRBP 2003(c).</w:t>
            </w:r>
            <w:r>
              <w:t xml:space="preserve"> (page 5-3)</w:t>
            </w:r>
          </w:p>
          <w:p w:rsidR="00610043" w:rsidRDefault="00610043" w:rsidP="00275851"/>
          <w:p w:rsidR="00610043" w:rsidRPr="00B50B8E" w:rsidRDefault="00610043" w:rsidP="00F96A36">
            <w:r>
              <w:t xml:space="preserve">Depending on the situation and local rules and practices, when debtor fails to appear, standing trustee </w:t>
            </w:r>
            <w:r w:rsidRPr="00995354">
              <w:rPr>
                <w:u w:val="single"/>
              </w:rPr>
              <w:t>may</w:t>
            </w:r>
            <w:r>
              <w:t xml:space="preserve"> take action. (page 5-7)</w:t>
            </w:r>
          </w:p>
          <w:p w:rsidR="00610043" w:rsidRDefault="00610043" w:rsidP="00275851">
            <w:pPr>
              <w:rPr>
                <w:b/>
                <w:u w:val="single"/>
              </w:rPr>
            </w:pPr>
          </w:p>
          <w:p w:rsidR="00FB6226" w:rsidRDefault="00FB6226" w:rsidP="00932C6C">
            <w:pPr>
              <w:rPr>
                <w:u w:val="single"/>
              </w:rPr>
            </w:pPr>
          </w:p>
          <w:p w:rsidR="00610043" w:rsidRPr="009677C6" w:rsidRDefault="00610043" w:rsidP="00932C6C">
            <w:r w:rsidRPr="009677C6">
              <w:rPr>
                <w:u w:val="single"/>
              </w:rPr>
              <w:t>If</w:t>
            </w:r>
            <w:r>
              <w:rPr>
                <w:u w:val="single"/>
              </w:rPr>
              <w:t xml:space="preserve"> </w:t>
            </w:r>
            <w:r w:rsidRPr="009677C6">
              <w:rPr>
                <w:u w:val="single"/>
              </w:rPr>
              <w:t>appropriate</w:t>
            </w:r>
            <w:r w:rsidRPr="009677C6">
              <w:t>, the standing trustee should include potential</w:t>
            </w:r>
            <w:r>
              <w:t xml:space="preserve"> </w:t>
            </w:r>
            <w:r w:rsidRPr="009677C6">
              <w:t>preferential or fraudulent transfer recoveries as part of the value of the estate.</w:t>
            </w:r>
            <w:r>
              <w:t xml:space="preserve"> (page 6-4)</w:t>
            </w:r>
          </w:p>
          <w:p w:rsidR="00610043" w:rsidRDefault="00610043" w:rsidP="00275851">
            <w:pPr>
              <w:rPr>
                <w:b/>
                <w:u w:val="single"/>
              </w:rPr>
            </w:pPr>
          </w:p>
          <w:p w:rsidR="00FB6226" w:rsidRDefault="00FB6226" w:rsidP="00275851">
            <w:pPr>
              <w:rPr>
                <w:b/>
                <w:u w:val="single"/>
              </w:rPr>
            </w:pPr>
          </w:p>
          <w:p w:rsidR="00610043" w:rsidRPr="00B50B8E" w:rsidRDefault="00610043" w:rsidP="00275851">
            <w:r w:rsidRPr="00B50B8E">
              <w:rPr>
                <w:b/>
                <w:u w:val="single"/>
              </w:rPr>
              <w:lastRenderedPageBreak/>
              <w:t>Review of Claims</w:t>
            </w:r>
          </w:p>
          <w:p w:rsidR="00610043" w:rsidRDefault="00610043" w:rsidP="00275851"/>
          <w:p w:rsidR="00610043" w:rsidRPr="00B50B8E" w:rsidRDefault="00610043" w:rsidP="00275851">
            <w:r w:rsidRPr="00B50B8E">
              <w:rPr>
                <w:lang w:val="en-CA"/>
              </w:rPr>
              <w:fldChar w:fldCharType="begin"/>
            </w:r>
            <w:r w:rsidRPr="00B50B8E">
              <w:rPr>
                <w:lang w:val="en-CA"/>
              </w:rPr>
              <w:instrText xml:space="preserve"> SEQ CHAPTER \h \r 1</w:instrText>
            </w:r>
            <w:r w:rsidRPr="00B50B8E">
              <w:rPr>
                <w:lang w:val="en-CA"/>
              </w:rPr>
              <w:fldChar w:fldCharType="end"/>
            </w:r>
            <w:r w:rsidRPr="00B50B8E">
              <w:rPr>
                <w:lang w:val="en-CA"/>
              </w:rPr>
              <w:fldChar w:fldCharType="begin"/>
            </w:r>
            <w:r w:rsidRPr="00B50B8E">
              <w:rPr>
                <w:lang w:val="en-CA"/>
              </w:rPr>
              <w:instrText xml:space="preserve"> SEQ CHAPTER \h \r 1</w:instrText>
            </w:r>
            <w:r w:rsidRPr="00B50B8E">
              <w:fldChar w:fldCharType="end"/>
            </w:r>
            <w:r w:rsidRPr="00B50B8E">
              <w:t xml:space="preserve">Some of the issues a standing trustee </w:t>
            </w:r>
            <w:r w:rsidRPr="00A93468">
              <w:t>should</w:t>
            </w:r>
            <w:r w:rsidRPr="00B50B8E">
              <w:t xml:space="preserve"> consider when reviewing claims are:</w:t>
            </w:r>
          </w:p>
          <w:p w:rsidR="00610043" w:rsidRDefault="00610043" w:rsidP="00275851"/>
          <w:p w:rsidR="00FB6226" w:rsidRPr="00B50B8E" w:rsidRDefault="00FB6226" w:rsidP="00275851"/>
          <w:p w:rsidR="00610043" w:rsidRPr="00B50B8E" w:rsidRDefault="00610043" w:rsidP="00275851">
            <w:r w:rsidRPr="00B50B8E">
              <w:t>g.  The standing trustee should object to duplicate claims.</w:t>
            </w:r>
            <w:r>
              <w:t xml:space="preserve"> (page 6-11)</w:t>
            </w:r>
          </w:p>
          <w:p w:rsidR="00610043" w:rsidRPr="00B50B8E" w:rsidRDefault="00610043" w:rsidP="00275851"/>
          <w:p w:rsidR="00610043" w:rsidRPr="00B50B8E" w:rsidRDefault="00610043" w:rsidP="00275851"/>
          <w:p w:rsidR="00610043" w:rsidRPr="00B50B8E" w:rsidRDefault="00610043" w:rsidP="003D78A8">
            <w:r w:rsidRPr="00B50B8E">
              <w:t xml:space="preserve">e.  The standing trustee </w:t>
            </w:r>
            <w:r w:rsidRPr="00ED2AC0">
              <w:rPr>
                <w:u w:val="single"/>
              </w:rPr>
              <w:t>should</w:t>
            </w:r>
            <w:r w:rsidRPr="00B50B8E">
              <w:t xml:space="preserve"> review schedules and compare judgments and liens listed in the schedules to claims that are filed. </w:t>
            </w:r>
            <w:r>
              <w:t xml:space="preserve"> (page 6-11)</w:t>
            </w:r>
          </w:p>
          <w:p w:rsidR="00610043" w:rsidRPr="00B50B8E" w:rsidRDefault="00610043" w:rsidP="00275851"/>
          <w:p w:rsidR="00610043" w:rsidRPr="00B50B8E" w:rsidRDefault="00610043" w:rsidP="00275851"/>
          <w:p w:rsidR="00610043" w:rsidRPr="00B50B8E" w:rsidRDefault="00610043" w:rsidP="00275851">
            <w:r w:rsidRPr="000A3C90">
              <w:rPr>
                <w:u w:val="single"/>
              </w:rPr>
              <w:t>It may be necessary</w:t>
            </w:r>
            <w:r w:rsidRPr="00B50B8E">
              <w:t xml:space="preserve"> to review claims of creditors seeking adequate protection payments.</w:t>
            </w:r>
            <w:r>
              <w:t xml:space="preserve">  (page 6-10</w:t>
            </w:r>
            <w:r w:rsidRPr="003D78A8">
              <w:t>)</w:t>
            </w:r>
          </w:p>
          <w:p w:rsidR="00610043" w:rsidRPr="00B50B8E" w:rsidRDefault="00610043" w:rsidP="00275851"/>
          <w:p w:rsidR="00610043" w:rsidRPr="00B50B8E" w:rsidRDefault="00610043" w:rsidP="00275851"/>
          <w:p w:rsidR="00FB6226" w:rsidRPr="00B50B8E" w:rsidRDefault="00FB6226" w:rsidP="00275851"/>
          <w:p w:rsidR="00610043" w:rsidRPr="006C31DC" w:rsidRDefault="00610043" w:rsidP="00A7031C">
            <w:r w:rsidRPr="006C31DC">
              <w:t xml:space="preserve">Unless the plan provides otherwise, a post-petition claim for a consumer </w:t>
            </w:r>
            <w:r w:rsidRPr="006C31DC">
              <w:rPr>
                <w:u w:val="single"/>
              </w:rPr>
              <w:t>shall be disallowed</w:t>
            </w:r>
            <w:r w:rsidRPr="006C31DC">
              <w:t xml:space="preserve"> if the holder of the claim knew or should have known that prior approval by the standing trustee was practicable and was not obtained.</w:t>
            </w:r>
            <w:r>
              <w:t xml:space="preserve"> (page 6-12)</w:t>
            </w:r>
          </w:p>
          <w:p w:rsidR="00610043" w:rsidRDefault="00610043" w:rsidP="004E7436">
            <w:pPr>
              <w:rPr>
                <w:b/>
                <w:u w:val="single"/>
              </w:rPr>
            </w:pPr>
          </w:p>
          <w:p w:rsidR="00FB6226" w:rsidRDefault="00FB6226" w:rsidP="00275851">
            <w:pPr>
              <w:rPr>
                <w:b/>
                <w:u w:val="single"/>
              </w:rPr>
            </w:pPr>
          </w:p>
          <w:p w:rsidR="00FB6226" w:rsidRDefault="00FB6226" w:rsidP="00275851">
            <w:pPr>
              <w:rPr>
                <w:b/>
                <w:u w:val="single"/>
              </w:rPr>
            </w:pPr>
          </w:p>
          <w:p w:rsidR="00FB6226" w:rsidRDefault="00FB6226" w:rsidP="00275851">
            <w:pPr>
              <w:rPr>
                <w:b/>
                <w:u w:val="single"/>
              </w:rPr>
            </w:pPr>
          </w:p>
          <w:p w:rsidR="00610043" w:rsidRDefault="00610043" w:rsidP="00275851">
            <w:r w:rsidRPr="00B50B8E">
              <w:rPr>
                <w:b/>
                <w:u w:val="single"/>
              </w:rPr>
              <w:lastRenderedPageBreak/>
              <w:t>Chapter 13 Debtors Engaged in Business</w:t>
            </w:r>
            <w:r w:rsidRPr="00B50B8E">
              <w:t>:</w:t>
            </w:r>
          </w:p>
          <w:p w:rsidR="00610043" w:rsidRPr="00B50B8E" w:rsidRDefault="00610043" w:rsidP="00275851"/>
          <w:p w:rsidR="00610043" w:rsidRPr="00B50B8E" w:rsidRDefault="00610043" w:rsidP="00275851">
            <w:r w:rsidRPr="000C64D8">
              <w:rPr>
                <w:u w:val="single"/>
                <w:lang w:val="en-CA"/>
              </w:rPr>
              <w:fldChar w:fldCharType="begin"/>
            </w:r>
            <w:r w:rsidRPr="000C64D8">
              <w:rPr>
                <w:u w:val="single"/>
                <w:lang w:val="en-CA"/>
              </w:rPr>
              <w:instrText xml:space="preserve"> SEQ CHAPTER \h \r 1</w:instrText>
            </w:r>
            <w:r w:rsidRPr="000C64D8">
              <w:rPr>
                <w:u w:val="single"/>
                <w:lang w:val="en-CA"/>
              </w:rPr>
              <w:fldChar w:fldCharType="end"/>
            </w:r>
            <w:r w:rsidRPr="000C64D8">
              <w:rPr>
                <w:u w:val="single"/>
              </w:rPr>
              <w:t>It is advisable</w:t>
            </w:r>
            <w:r w:rsidRPr="00B50B8E">
              <w:t xml:space="preserve"> for the standing trustee to meet with the debtor and with debtor's counsel, if the debtor is represented, prior to the meeting of creditors or to request that specific documents be brought to the § 341(a) meeting</w:t>
            </w:r>
            <w:r>
              <w:t>. F</w:t>
            </w:r>
            <w:r w:rsidRPr="00B50B8E">
              <w:t xml:space="preserve"> (p. 8-3)</w:t>
            </w:r>
          </w:p>
          <w:p w:rsidR="00610043" w:rsidRPr="00B50B8E" w:rsidRDefault="00610043" w:rsidP="00275851"/>
          <w:p w:rsidR="00610043" w:rsidRPr="00B50B8E" w:rsidRDefault="00610043" w:rsidP="00275851">
            <w:r w:rsidRPr="00B50B8E">
              <w:rPr>
                <w:lang w:val="en-CA"/>
              </w:rPr>
              <w:fldChar w:fldCharType="begin"/>
            </w:r>
            <w:r w:rsidRPr="00B50B8E">
              <w:rPr>
                <w:lang w:val="en-CA"/>
              </w:rPr>
              <w:instrText xml:space="preserve"> SEQ CHAPTER \h \r 1</w:instrText>
            </w:r>
            <w:r w:rsidRPr="00B50B8E">
              <w:rPr>
                <w:lang w:val="en-CA"/>
              </w:rPr>
              <w:fldChar w:fldCharType="end"/>
            </w:r>
            <w:r w:rsidRPr="00B50B8E">
              <w:t>If the investigation uncovers evidence of fraud, the standing trustee should take appropriate action. (p. 8-4)</w:t>
            </w:r>
          </w:p>
          <w:p w:rsidR="00610043" w:rsidRPr="00B50B8E" w:rsidRDefault="00610043" w:rsidP="00275851">
            <w:pPr>
              <w:rPr>
                <w:b/>
                <w:u w:val="single"/>
              </w:rPr>
            </w:pPr>
          </w:p>
          <w:p w:rsidR="00610043" w:rsidRPr="00B50B8E" w:rsidRDefault="00610043" w:rsidP="00275851">
            <w:pPr>
              <w:rPr>
                <w:b/>
                <w:u w:val="single"/>
              </w:rPr>
            </w:pPr>
          </w:p>
          <w:p w:rsidR="00610043" w:rsidRPr="00B50B8E" w:rsidRDefault="00610043" w:rsidP="00275851">
            <w:r w:rsidRPr="00B50B8E">
              <w:rPr>
                <w:b/>
                <w:u w:val="single"/>
              </w:rPr>
              <w:t>Disbursements</w:t>
            </w:r>
            <w:r w:rsidRPr="00B50B8E">
              <w:t>:</w:t>
            </w:r>
          </w:p>
          <w:p w:rsidR="00610043" w:rsidRPr="00B50B8E" w:rsidRDefault="00610043" w:rsidP="00275851"/>
          <w:p w:rsidR="00610043" w:rsidRPr="00B50B8E" w:rsidRDefault="00610043" w:rsidP="00275851">
            <w:r w:rsidRPr="00B50B8E">
              <w:t xml:space="preserve">Several references to </w:t>
            </w:r>
            <w:r w:rsidRPr="00B50B8E">
              <w:rPr>
                <w:u w:val="single"/>
              </w:rPr>
              <w:t>timely</w:t>
            </w:r>
            <w:r w:rsidRPr="00B50B8E">
              <w:t xml:space="preserve"> disbursements, nothing specific.</w:t>
            </w:r>
          </w:p>
          <w:p w:rsidR="00610043" w:rsidRPr="00B50B8E" w:rsidRDefault="00610043" w:rsidP="00275851">
            <w:pPr>
              <w:rPr>
                <w:b/>
                <w:u w:val="single"/>
              </w:rPr>
            </w:pPr>
          </w:p>
          <w:p w:rsidR="00610043" w:rsidRPr="00B50B8E" w:rsidRDefault="00610043" w:rsidP="00275851">
            <w:r w:rsidRPr="00B50B8E">
              <w:rPr>
                <w:b/>
                <w:u w:val="single"/>
              </w:rPr>
              <w:t>Avoidance Powers</w:t>
            </w:r>
            <w:r w:rsidRPr="00B50B8E">
              <w:t>:</w:t>
            </w:r>
          </w:p>
          <w:p w:rsidR="00610043" w:rsidRPr="00B50B8E" w:rsidRDefault="00610043" w:rsidP="00275851"/>
          <w:p w:rsidR="00610043" w:rsidRPr="00B50B8E" w:rsidRDefault="00610043" w:rsidP="00275851">
            <w:r w:rsidRPr="00B50B8E">
              <w:rPr>
                <w:lang w:val="en-CA"/>
              </w:rPr>
              <w:fldChar w:fldCharType="begin"/>
            </w:r>
            <w:r w:rsidRPr="00B50B8E">
              <w:rPr>
                <w:lang w:val="en-CA"/>
              </w:rPr>
              <w:instrText xml:space="preserve"> SEQ CHAPTER \h \r 1</w:instrText>
            </w:r>
            <w:r w:rsidRPr="00B50B8E">
              <w:rPr>
                <w:lang w:val="en-CA"/>
              </w:rPr>
              <w:fldChar w:fldCharType="end"/>
            </w:r>
            <w:r w:rsidRPr="00B50B8E">
              <w:t xml:space="preserve">As an alternative to a formal recovery action, the standing trustee may reach an agreement with the debtor and debtor's counsel to "cash out" the transfer …. If the standing trustee "cashes out" such a transfer, </w:t>
            </w:r>
            <w:r w:rsidRPr="00B50B8E">
              <w:rPr>
                <w:u w:val="single"/>
              </w:rPr>
              <w:t xml:space="preserve">the standing trustee should </w:t>
            </w:r>
            <w:r w:rsidRPr="00B50B8E">
              <w:t>obtain a written agreement from the debtor and transferee/creditor to toll, if possible, the statute of limitations relating to any applicable transfer recovery or lien avoidance action. (page 6-6)</w:t>
            </w:r>
          </w:p>
          <w:p w:rsidR="00610043" w:rsidRDefault="00610043" w:rsidP="00275851">
            <w:pPr>
              <w:rPr>
                <w:b/>
                <w:u w:val="single"/>
              </w:rPr>
            </w:pPr>
          </w:p>
          <w:p w:rsidR="00FB6226" w:rsidRDefault="00FB6226" w:rsidP="00275851">
            <w:pPr>
              <w:rPr>
                <w:b/>
                <w:u w:val="single"/>
              </w:rPr>
            </w:pPr>
          </w:p>
          <w:p w:rsidR="00FB6226" w:rsidRDefault="00FB6226" w:rsidP="00275851">
            <w:pPr>
              <w:rPr>
                <w:b/>
                <w:u w:val="single"/>
              </w:rPr>
            </w:pPr>
          </w:p>
          <w:p w:rsidR="00FB6226" w:rsidRPr="00B50B8E" w:rsidRDefault="00FB6226" w:rsidP="00275851">
            <w:pPr>
              <w:rPr>
                <w:b/>
                <w:u w:val="single"/>
              </w:rPr>
            </w:pPr>
          </w:p>
          <w:p w:rsidR="00610043" w:rsidRPr="00B50B8E" w:rsidRDefault="00610043" w:rsidP="00275851">
            <w:r w:rsidRPr="00B50B8E">
              <w:rPr>
                <w:b/>
                <w:u w:val="single"/>
              </w:rPr>
              <w:lastRenderedPageBreak/>
              <w:t>Discharge of Debtor</w:t>
            </w:r>
            <w:r w:rsidRPr="00B50B8E">
              <w:t>:</w:t>
            </w:r>
          </w:p>
          <w:p w:rsidR="00610043" w:rsidRPr="00B50B8E" w:rsidRDefault="00610043" w:rsidP="00275851"/>
          <w:p w:rsidR="00610043" w:rsidRPr="00B50B8E" w:rsidRDefault="00610043" w:rsidP="00275851">
            <w:r>
              <w:t>Debtor may receive a discharge upon completion of the debtor's obligations under the plan. (page 6-12)</w:t>
            </w:r>
          </w:p>
          <w:p w:rsidR="00610043" w:rsidRPr="00B50B8E" w:rsidRDefault="00610043" w:rsidP="00275851"/>
          <w:p w:rsidR="00610043" w:rsidRPr="00B50B8E" w:rsidRDefault="00610043" w:rsidP="00275851"/>
          <w:p w:rsidR="00610043" w:rsidRDefault="00610043" w:rsidP="00275851"/>
          <w:p w:rsidR="00610043" w:rsidRDefault="00610043" w:rsidP="00275851"/>
          <w:p w:rsidR="00610043" w:rsidRDefault="00610043" w:rsidP="00275851"/>
          <w:p w:rsidR="00610043" w:rsidRPr="00B50B8E" w:rsidRDefault="00610043" w:rsidP="00275851">
            <w:r w:rsidRPr="00B50B8E">
              <w:t xml:space="preserve">Standing trustee should object to the debtor’s hardship discharge </w:t>
            </w:r>
            <w:r w:rsidRPr="0020386E">
              <w:rPr>
                <w:u w:val="single"/>
              </w:rPr>
              <w:t>if advisable</w:t>
            </w:r>
            <w:r w:rsidRPr="00B50B8E">
              <w:t>. (page 6-13)</w:t>
            </w:r>
          </w:p>
          <w:p w:rsidR="00610043" w:rsidRPr="00B50B8E" w:rsidRDefault="00610043" w:rsidP="00275851"/>
          <w:p w:rsidR="00610043" w:rsidRPr="00B50B8E" w:rsidRDefault="00610043" w:rsidP="00275851"/>
          <w:p w:rsidR="00610043" w:rsidRDefault="00610043" w:rsidP="00275851">
            <w:r w:rsidRPr="00B50B8E">
              <w:rPr>
                <w:b/>
                <w:u w:val="single"/>
              </w:rPr>
              <w:t>Final Reports</w:t>
            </w:r>
            <w:r w:rsidRPr="00B50B8E">
              <w:t>:</w:t>
            </w:r>
          </w:p>
          <w:p w:rsidR="00610043" w:rsidRPr="00B50B8E" w:rsidRDefault="00610043" w:rsidP="00275851"/>
          <w:p w:rsidR="00610043" w:rsidRPr="00B50B8E" w:rsidRDefault="00610043" w:rsidP="00275851">
            <w:pPr>
              <w:rPr>
                <w:b/>
                <w:u w:val="single"/>
              </w:rPr>
            </w:pPr>
            <w:r w:rsidRPr="00B50B8E">
              <w:rPr>
                <w:u w:val="single"/>
              </w:rPr>
              <w:t>If possible</w:t>
            </w:r>
            <w:r w:rsidRPr="00B50B8E">
              <w:t xml:space="preserve">, review </w:t>
            </w:r>
            <w:r>
              <w:t xml:space="preserve">of case prior to filing final report </w:t>
            </w:r>
            <w:r w:rsidRPr="00B50B8E">
              <w:t>should not be conducted by the same staff member</w:t>
            </w:r>
            <w:r>
              <w:t xml:space="preserve"> who </w:t>
            </w:r>
            <w:r w:rsidRPr="00B50B8E">
              <w:t>monitored the file during the course of the case.  (page 6-12)</w:t>
            </w:r>
          </w:p>
          <w:p w:rsidR="00610043" w:rsidRPr="00B50B8E" w:rsidRDefault="00610043" w:rsidP="00275851">
            <w:pPr>
              <w:rPr>
                <w:b/>
                <w:u w:val="single"/>
              </w:rPr>
            </w:pPr>
          </w:p>
          <w:p w:rsidR="00610043" w:rsidRPr="00054C3D" w:rsidRDefault="00610043" w:rsidP="00275851">
            <w:r w:rsidRPr="00054C3D">
              <w:t>No equivalent.</w:t>
            </w:r>
          </w:p>
          <w:p w:rsidR="00610043" w:rsidRPr="00B50B8E" w:rsidRDefault="00610043" w:rsidP="00275851">
            <w:pPr>
              <w:rPr>
                <w:b/>
                <w:u w:val="single"/>
              </w:rPr>
            </w:pPr>
          </w:p>
          <w:p w:rsidR="00610043" w:rsidRPr="00B50B8E" w:rsidRDefault="00610043" w:rsidP="00275851">
            <w:pPr>
              <w:rPr>
                <w:b/>
                <w:u w:val="single"/>
              </w:rPr>
            </w:pPr>
          </w:p>
          <w:p w:rsidR="00610043" w:rsidRPr="00B50B8E" w:rsidRDefault="00610043" w:rsidP="00275851">
            <w:r w:rsidRPr="00B50B8E">
              <w:rPr>
                <w:b/>
                <w:u w:val="single"/>
              </w:rPr>
              <w:t>Requirements Pertaining to Depositories</w:t>
            </w:r>
            <w:r w:rsidRPr="00B50B8E">
              <w:t xml:space="preserve">: </w:t>
            </w:r>
          </w:p>
          <w:p w:rsidR="00610043" w:rsidRDefault="00610043" w:rsidP="00275851">
            <w:pPr>
              <w:rPr>
                <w:lang w:val="en-CA"/>
              </w:rPr>
            </w:pPr>
          </w:p>
          <w:p w:rsidR="00FB6226" w:rsidRDefault="00FB6226" w:rsidP="00275851">
            <w:pPr>
              <w:rPr>
                <w:lang w:val="en-CA"/>
              </w:rPr>
            </w:pPr>
          </w:p>
          <w:p w:rsidR="00FB6226" w:rsidRDefault="00FB6226" w:rsidP="00275851">
            <w:pPr>
              <w:rPr>
                <w:lang w:val="en-CA"/>
              </w:rPr>
            </w:pPr>
          </w:p>
          <w:p w:rsidR="00FB6226" w:rsidRDefault="00FB6226" w:rsidP="00275851">
            <w:pPr>
              <w:rPr>
                <w:lang w:val="en-CA"/>
              </w:rPr>
            </w:pPr>
          </w:p>
          <w:p w:rsidR="00FB6226" w:rsidRDefault="00FB6226" w:rsidP="00275851">
            <w:pPr>
              <w:rPr>
                <w:lang w:val="en-CA"/>
              </w:rPr>
            </w:pPr>
          </w:p>
          <w:p w:rsidR="00610043" w:rsidRDefault="00610043" w:rsidP="00275851">
            <w:pPr>
              <w:rPr>
                <w:b/>
                <w:u w:val="single"/>
              </w:rPr>
            </w:pPr>
            <w:r>
              <w:rPr>
                <w:b/>
                <w:u w:val="single"/>
              </w:rPr>
              <w:lastRenderedPageBreak/>
              <w:t>Collateralization Of the Standing Trustee's Deposits</w:t>
            </w:r>
          </w:p>
          <w:p w:rsidR="00610043" w:rsidRPr="00B50B8E" w:rsidRDefault="00610043" w:rsidP="00275851">
            <w:pPr>
              <w:rPr>
                <w:b/>
                <w:u w:val="single"/>
              </w:rPr>
            </w:pPr>
          </w:p>
          <w:p w:rsidR="00610043" w:rsidRPr="00ED2AC0" w:rsidRDefault="00610043" w:rsidP="00E24161">
            <w:r w:rsidRPr="00ED2AC0">
              <w:t xml:space="preserve">It is the responsibility of the standing trustee to ensure that </w:t>
            </w:r>
            <w:r>
              <w:t xml:space="preserve">the </w:t>
            </w:r>
            <w:r w:rsidRPr="00ED2AC0">
              <w:t>banking institution is in compliance with § 345.</w:t>
            </w:r>
            <w:r>
              <w:t xml:space="preserve"> (page 9-3)</w:t>
            </w:r>
          </w:p>
          <w:p w:rsidR="00610043" w:rsidRPr="00B50B8E" w:rsidRDefault="00610043" w:rsidP="00275851">
            <w:pPr>
              <w:rPr>
                <w:b/>
                <w:u w:val="single"/>
              </w:rPr>
            </w:pPr>
          </w:p>
          <w:p w:rsidR="00610043" w:rsidRPr="00B50B8E" w:rsidRDefault="00610043" w:rsidP="00275851">
            <w:pPr>
              <w:rPr>
                <w:b/>
                <w:u w:val="single"/>
              </w:rPr>
            </w:pPr>
          </w:p>
          <w:p w:rsidR="00610043" w:rsidRPr="00B50B8E" w:rsidRDefault="00610043" w:rsidP="00275851">
            <w:pPr>
              <w:rPr>
                <w:b/>
                <w:u w:val="single"/>
              </w:rPr>
            </w:pPr>
          </w:p>
          <w:p w:rsidR="00610043" w:rsidRPr="00B50B8E" w:rsidRDefault="00610043" w:rsidP="00275851">
            <w:pPr>
              <w:rPr>
                <w:b/>
                <w:u w:val="single"/>
              </w:rPr>
            </w:pPr>
          </w:p>
          <w:p w:rsidR="00610043" w:rsidRPr="00B50B8E" w:rsidRDefault="00610043" w:rsidP="00275851">
            <w:pPr>
              <w:rPr>
                <w:b/>
                <w:u w:val="single"/>
              </w:rPr>
            </w:pPr>
          </w:p>
          <w:p w:rsidR="00610043" w:rsidRPr="00B50B8E" w:rsidRDefault="00610043" w:rsidP="00275851">
            <w:pPr>
              <w:rPr>
                <w:b/>
                <w:u w:val="single"/>
              </w:rPr>
            </w:pPr>
          </w:p>
          <w:p w:rsidR="00610043" w:rsidRPr="00B50B8E" w:rsidRDefault="00610043" w:rsidP="00275851">
            <w:r w:rsidRPr="00B50B8E">
              <w:rPr>
                <w:b/>
                <w:u w:val="single"/>
              </w:rPr>
              <w:t>Financial Reporting and Record Keeping</w:t>
            </w:r>
            <w:r w:rsidRPr="00B50B8E">
              <w:t>:</w:t>
            </w:r>
          </w:p>
          <w:p w:rsidR="00610043" w:rsidRPr="00B50B8E" w:rsidRDefault="00610043" w:rsidP="00275851">
            <w:r w:rsidRPr="00B50B8E">
              <w:t>.</w:t>
            </w:r>
          </w:p>
          <w:p w:rsidR="00610043" w:rsidRDefault="00610043" w:rsidP="00275851"/>
          <w:p w:rsidR="00FB6226" w:rsidRPr="00B50B8E" w:rsidRDefault="00FB6226" w:rsidP="00275851"/>
          <w:p w:rsidR="00610043" w:rsidRPr="00B50B8E" w:rsidRDefault="00610043" w:rsidP="00275851"/>
          <w:p w:rsidR="00610043" w:rsidRDefault="00610043" w:rsidP="00275851">
            <w:r>
              <w:t>Automating the record keeping process will provide greater internal control</w:t>
            </w:r>
            <w:r w:rsidR="00E42B8F">
              <w:t xml:space="preserve"> </w:t>
            </w:r>
            <w:r>
              <w:t>and efficiency. (page 9-6)</w:t>
            </w:r>
          </w:p>
          <w:p w:rsidR="00610043" w:rsidRDefault="00610043" w:rsidP="00275851"/>
          <w:p w:rsidR="00E42B8F" w:rsidRPr="00B50B8E" w:rsidRDefault="00E42B8F" w:rsidP="00275851"/>
          <w:p w:rsidR="00610043" w:rsidRDefault="00610043" w:rsidP="00275851">
            <w:r>
              <w:t>No equivalent. (page  9-7)</w:t>
            </w:r>
          </w:p>
          <w:p w:rsidR="00610043" w:rsidRDefault="00610043" w:rsidP="00275851"/>
          <w:p w:rsidR="00610043" w:rsidRPr="00B50B8E" w:rsidRDefault="00610043" w:rsidP="00275851">
            <w:r w:rsidRPr="00B50B8E">
              <w:rPr>
                <w:b/>
                <w:u w:val="single"/>
              </w:rPr>
              <w:t>Internal Control Features:</w:t>
            </w:r>
          </w:p>
          <w:p w:rsidR="00610043" w:rsidRPr="00B50B8E" w:rsidRDefault="00610043" w:rsidP="00275851"/>
          <w:p w:rsidR="00610043" w:rsidRPr="00B50B8E" w:rsidRDefault="00610043" w:rsidP="00275851">
            <w:r w:rsidRPr="00B50B8E">
              <w:rPr>
                <w:lang w:val="en-CA"/>
              </w:rPr>
              <w:fldChar w:fldCharType="begin"/>
            </w:r>
            <w:r w:rsidRPr="00B50B8E">
              <w:rPr>
                <w:lang w:val="en-CA"/>
              </w:rPr>
              <w:instrText xml:space="preserve"> SEQ CHAPTER \h \r 1</w:instrText>
            </w:r>
            <w:r w:rsidRPr="00B50B8E">
              <w:rPr>
                <w:lang w:val="en-CA"/>
              </w:rPr>
              <w:fldChar w:fldCharType="end"/>
            </w:r>
            <w:r w:rsidRPr="00B50B8E">
              <w:t xml:space="preserve">In most operations, standing trustee </w:t>
            </w:r>
            <w:r w:rsidRPr="00B50B8E">
              <w:rPr>
                <w:u w:val="single"/>
              </w:rPr>
              <w:t>should consider</w:t>
            </w:r>
            <w:r w:rsidRPr="00B50B8E">
              <w:t xml:space="preserve"> opening and reviewing the bank statements and canceled checks prior to providing the information to the employee responsible for the bank account reconcilement. (page 9-12)</w:t>
            </w:r>
          </w:p>
          <w:p w:rsidR="00610043" w:rsidRPr="00B50B8E" w:rsidRDefault="00610043" w:rsidP="00275851"/>
          <w:p w:rsidR="00610043" w:rsidRPr="00B50B8E" w:rsidRDefault="00610043" w:rsidP="00275851">
            <w:pPr>
              <w:rPr>
                <w:lang w:val="en-CA"/>
              </w:rPr>
            </w:pPr>
            <w:r>
              <w:rPr>
                <w:lang w:val="en-CA"/>
              </w:rPr>
              <w:lastRenderedPageBreak/>
              <w:t>No equivalent.</w:t>
            </w:r>
          </w:p>
          <w:p w:rsidR="00610043" w:rsidRPr="00B50B8E" w:rsidRDefault="00610043" w:rsidP="00275851">
            <w:pPr>
              <w:rPr>
                <w:lang w:val="en-CA"/>
              </w:rPr>
            </w:pPr>
          </w:p>
          <w:p w:rsidR="00610043" w:rsidRPr="00B50B8E" w:rsidRDefault="00610043" w:rsidP="00275851">
            <w:pPr>
              <w:rPr>
                <w:lang w:val="en-CA"/>
              </w:rPr>
            </w:pPr>
          </w:p>
          <w:p w:rsidR="00610043" w:rsidRPr="00B50B8E" w:rsidRDefault="00610043" w:rsidP="00275851">
            <w:pPr>
              <w:rPr>
                <w:lang w:val="en-CA"/>
              </w:rPr>
            </w:pPr>
          </w:p>
          <w:p w:rsidR="00610043" w:rsidRPr="00B50B8E" w:rsidRDefault="00610043" w:rsidP="00275851">
            <w:pPr>
              <w:rPr>
                <w:lang w:val="en-CA"/>
              </w:rPr>
            </w:pPr>
            <w:r>
              <w:rPr>
                <w:lang w:val="en-CA"/>
              </w:rPr>
              <w:t>No equivalent.</w:t>
            </w:r>
          </w:p>
          <w:p w:rsidR="00610043" w:rsidRPr="00B50B8E" w:rsidRDefault="00610043" w:rsidP="00275851">
            <w:pPr>
              <w:rPr>
                <w:lang w:val="en-CA"/>
              </w:rPr>
            </w:pPr>
          </w:p>
          <w:p w:rsidR="00610043" w:rsidRPr="00B50B8E" w:rsidRDefault="00610043" w:rsidP="00275851">
            <w:pPr>
              <w:rPr>
                <w:lang w:val="en-CA"/>
              </w:rPr>
            </w:pPr>
          </w:p>
          <w:p w:rsidR="00610043" w:rsidRPr="00B50B8E" w:rsidRDefault="00610043" w:rsidP="00275851">
            <w:pPr>
              <w:rPr>
                <w:lang w:val="en-CA"/>
              </w:rPr>
            </w:pPr>
          </w:p>
          <w:p w:rsidR="00610043" w:rsidRDefault="00610043" w:rsidP="00275851">
            <w:pPr>
              <w:rPr>
                <w:lang w:val="en-CA"/>
              </w:rPr>
            </w:pPr>
            <w:r>
              <w:rPr>
                <w:lang w:val="en-CA"/>
              </w:rPr>
              <w:t>Blank check stock should be consecutively numbered either by the bank or by the standing trustee's software system. (</w:t>
            </w:r>
            <w:r w:rsidRPr="00782DDC">
              <w:rPr>
                <w:lang w:val="en-CA"/>
              </w:rPr>
              <w:t>page 9-12)</w:t>
            </w:r>
          </w:p>
          <w:p w:rsidR="00610043" w:rsidRDefault="00610043" w:rsidP="00275851">
            <w:pPr>
              <w:rPr>
                <w:lang w:val="en-CA"/>
              </w:rPr>
            </w:pPr>
          </w:p>
          <w:p w:rsidR="00610043" w:rsidRDefault="00610043" w:rsidP="00275851">
            <w:pPr>
              <w:rPr>
                <w:lang w:val="en-CA"/>
              </w:rPr>
            </w:pPr>
          </w:p>
          <w:p w:rsidR="00610043" w:rsidRDefault="00610043" w:rsidP="00275851">
            <w:pPr>
              <w:rPr>
                <w:lang w:val="en-CA"/>
              </w:rPr>
            </w:pPr>
          </w:p>
          <w:p w:rsidR="00610043" w:rsidRDefault="00610043" w:rsidP="00275851">
            <w:pPr>
              <w:rPr>
                <w:lang w:val="en-CA"/>
              </w:rPr>
            </w:pPr>
          </w:p>
          <w:p w:rsidR="00610043" w:rsidRDefault="00610043" w:rsidP="00275851">
            <w:pPr>
              <w:rPr>
                <w:lang w:val="en-CA"/>
              </w:rPr>
            </w:pPr>
            <w:r>
              <w:rPr>
                <w:lang w:val="en-CA"/>
              </w:rPr>
              <w:t>No equivalent.</w:t>
            </w:r>
          </w:p>
          <w:p w:rsidR="00610043" w:rsidRDefault="00610043" w:rsidP="00275851">
            <w:pPr>
              <w:rPr>
                <w:lang w:val="en-CA"/>
              </w:rPr>
            </w:pPr>
          </w:p>
          <w:p w:rsidR="00610043" w:rsidRDefault="00610043" w:rsidP="00275851">
            <w:pPr>
              <w:rPr>
                <w:lang w:val="en-CA"/>
              </w:rPr>
            </w:pPr>
          </w:p>
          <w:p w:rsidR="00610043" w:rsidRDefault="00610043" w:rsidP="00275851">
            <w:pPr>
              <w:rPr>
                <w:lang w:val="en-CA"/>
              </w:rPr>
            </w:pPr>
          </w:p>
          <w:p w:rsidR="00610043" w:rsidRDefault="00610043" w:rsidP="00275851">
            <w:pPr>
              <w:rPr>
                <w:lang w:val="en-CA"/>
              </w:rPr>
            </w:pPr>
          </w:p>
          <w:p w:rsidR="00610043" w:rsidRDefault="00610043" w:rsidP="00275851">
            <w:pPr>
              <w:rPr>
                <w:lang w:val="en-CA"/>
              </w:rPr>
            </w:pPr>
          </w:p>
          <w:p w:rsidR="00610043" w:rsidRDefault="00610043" w:rsidP="00275851">
            <w:pPr>
              <w:rPr>
                <w:lang w:val="en-CA"/>
              </w:rPr>
            </w:pPr>
          </w:p>
          <w:p w:rsidR="00610043" w:rsidRDefault="00610043" w:rsidP="00275851">
            <w:pPr>
              <w:rPr>
                <w:lang w:val="en-CA"/>
              </w:rPr>
            </w:pPr>
          </w:p>
          <w:p w:rsidR="00610043" w:rsidRPr="00B50B8E" w:rsidRDefault="00610043" w:rsidP="00275851">
            <w:r w:rsidRPr="00B50B8E">
              <w:t xml:space="preserve">Funds are to be deposited </w:t>
            </w:r>
            <w:r w:rsidRPr="00B50B8E">
              <w:rPr>
                <w:u w:val="single"/>
              </w:rPr>
              <w:t>immediately</w:t>
            </w:r>
            <w:r w:rsidRPr="00B50B8E">
              <w:t xml:space="preserve"> after receipt. (page 9-13)</w:t>
            </w:r>
          </w:p>
          <w:p w:rsidR="00610043" w:rsidRPr="00B50B8E" w:rsidRDefault="00610043" w:rsidP="00275851"/>
          <w:p w:rsidR="00610043" w:rsidRPr="00B50B8E" w:rsidRDefault="00610043" w:rsidP="00275851">
            <w:pPr>
              <w:rPr>
                <w:lang w:val="en-CA"/>
              </w:rPr>
            </w:pPr>
            <w:r w:rsidRPr="00B50B8E">
              <w:t xml:space="preserve">Payers should be instructed to makes checks payable to "Office of Standing Chapter 13 Trustee." (page </w:t>
            </w:r>
            <w:r>
              <w:t>9</w:t>
            </w:r>
            <w:r w:rsidRPr="00B50B8E">
              <w:t>-13)</w:t>
            </w:r>
          </w:p>
          <w:p w:rsidR="00610043" w:rsidRPr="00B50B8E" w:rsidRDefault="00610043" w:rsidP="00275851">
            <w:pPr>
              <w:rPr>
                <w:lang w:val="en-CA"/>
              </w:rPr>
            </w:pPr>
          </w:p>
          <w:p w:rsidR="00610043" w:rsidRPr="00B50B8E" w:rsidRDefault="00610043" w:rsidP="00275851">
            <w:pPr>
              <w:rPr>
                <w:lang w:val="en-CA"/>
              </w:rPr>
            </w:pPr>
          </w:p>
          <w:p w:rsidR="00610043" w:rsidRDefault="00610043" w:rsidP="00275851">
            <w:pPr>
              <w:rPr>
                <w:lang w:val="en-CA"/>
              </w:rPr>
            </w:pPr>
            <w:r w:rsidRPr="00B04BF3">
              <w:rPr>
                <w:lang w:val="en-CA"/>
              </w:rPr>
              <w:lastRenderedPageBreak/>
              <w:t xml:space="preserve">The standing trustee </w:t>
            </w:r>
            <w:r w:rsidRPr="00ED2AC0">
              <w:rPr>
                <w:u w:val="single"/>
                <w:lang w:val="en-CA"/>
              </w:rPr>
              <w:t>should discourage</w:t>
            </w:r>
            <w:r w:rsidRPr="00B04BF3">
              <w:rPr>
                <w:lang w:val="en-CA"/>
              </w:rPr>
              <w:t xml:space="preserve"> payments in currency.</w:t>
            </w:r>
            <w:r>
              <w:rPr>
                <w:lang w:val="en-CA"/>
              </w:rPr>
              <w:t xml:space="preserve"> (page 9-14)</w:t>
            </w:r>
          </w:p>
          <w:p w:rsidR="00610043" w:rsidRDefault="00610043" w:rsidP="00275851">
            <w:pPr>
              <w:rPr>
                <w:lang w:val="en-CA"/>
              </w:rPr>
            </w:pPr>
          </w:p>
          <w:p w:rsidR="00610043" w:rsidRDefault="00610043" w:rsidP="00275851">
            <w:pPr>
              <w:rPr>
                <w:lang w:val="en-CA"/>
              </w:rPr>
            </w:pPr>
            <w:r>
              <w:rPr>
                <w:lang w:val="en-CA"/>
              </w:rPr>
              <w:t xml:space="preserve">The standing trustee </w:t>
            </w:r>
            <w:r w:rsidRPr="00ED2AC0">
              <w:rPr>
                <w:u w:val="single"/>
                <w:lang w:val="en-CA"/>
              </w:rPr>
              <w:t>must seek UST approval</w:t>
            </w:r>
            <w:r>
              <w:rPr>
                <w:lang w:val="en-CA"/>
              </w:rPr>
              <w:t xml:space="preserve"> for electronic transfers from debtors. (page 9-14)</w:t>
            </w:r>
          </w:p>
          <w:p w:rsidR="00610043" w:rsidRDefault="00610043" w:rsidP="00275851">
            <w:pPr>
              <w:rPr>
                <w:lang w:val="en-CA"/>
              </w:rPr>
            </w:pPr>
          </w:p>
          <w:p w:rsidR="00610043" w:rsidRPr="00B50B8E" w:rsidRDefault="00610043" w:rsidP="00275851">
            <w:r>
              <w:rPr>
                <w:lang w:val="en-CA"/>
              </w:rPr>
              <w:t>Positive pay is not required.</w:t>
            </w:r>
            <w:r w:rsidRPr="00B50B8E">
              <w:t xml:space="preserve">  (page 9-15)</w:t>
            </w:r>
          </w:p>
          <w:p w:rsidR="00610043" w:rsidRPr="00B50B8E" w:rsidRDefault="00610043" w:rsidP="00275851"/>
          <w:p w:rsidR="00610043" w:rsidRPr="00B50B8E" w:rsidRDefault="00610043" w:rsidP="00275851"/>
          <w:p w:rsidR="00610043" w:rsidRDefault="00610043" w:rsidP="00275851">
            <w:pPr>
              <w:rPr>
                <w:lang w:val="en-CA"/>
              </w:rPr>
            </w:pPr>
          </w:p>
          <w:p w:rsidR="00610043" w:rsidRPr="00B50B8E" w:rsidRDefault="00610043" w:rsidP="00275851">
            <w:pPr>
              <w:rPr>
                <w:lang w:val="en-CA"/>
              </w:rPr>
            </w:pPr>
            <w:r w:rsidRPr="00B50B8E">
              <w:rPr>
                <w:lang w:val="en-CA"/>
              </w:rPr>
              <w:fldChar w:fldCharType="begin"/>
            </w:r>
            <w:r w:rsidRPr="00B50B8E">
              <w:rPr>
                <w:lang w:val="en-CA"/>
              </w:rPr>
              <w:instrText xml:space="preserve"> SEQ CHAPTER \h \r 1</w:instrText>
            </w:r>
            <w:r w:rsidRPr="00B50B8E">
              <w:rPr>
                <w:lang w:val="en-CA"/>
              </w:rPr>
              <w:fldChar w:fldCharType="end"/>
            </w:r>
            <w:r w:rsidRPr="00B50B8E">
              <w:t>All disbursements are to be made by check and are to be recorded in the cash disbursements journal.  (page 9-6)</w:t>
            </w:r>
          </w:p>
          <w:p w:rsidR="00610043" w:rsidRDefault="00610043" w:rsidP="00275851"/>
          <w:p w:rsidR="00610043" w:rsidRPr="00B50B8E" w:rsidRDefault="00610043" w:rsidP="00275851"/>
          <w:p w:rsidR="00610043" w:rsidRDefault="00610043" w:rsidP="00275851"/>
          <w:p w:rsidR="00610043" w:rsidRDefault="00610043" w:rsidP="00275851">
            <w:r>
              <w:t>No equivalent.</w:t>
            </w:r>
          </w:p>
          <w:p w:rsidR="00610043" w:rsidRDefault="00610043" w:rsidP="00275851"/>
          <w:p w:rsidR="00610043" w:rsidRDefault="00610043" w:rsidP="00275851"/>
          <w:p w:rsidR="00610043" w:rsidRDefault="00610043" w:rsidP="00275851"/>
          <w:p w:rsidR="00610043" w:rsidRPr="00B50B8E" w:rsidRDefault="00610043" w:rsidP="00141CE8">
            <w:r w:rsidRPr="00141CE8">
              <w:rPr>
                <w:lang w:val="en-CA"/>
              </w:rPr>
              <w:t>If funds are received in a closed case, the standing trustee may not post</w:t>
            </w:r>
            <w:r w:rsidR="00E36FC3">
              <w:rPr>
                <w:lang w:val="en-CA"/>
              </w:rPr>
              <w:t xml:space="preserve"> </w:t>
            </w:r>
            <w:r w:rsidRPr="00141CE8">
              <w:rPr>
                <w:lang w:val="en-CA"/>
              </w:rPr>
              <w:t>them to the case. Such funds shall be posted to the suspense account and</w:t>
            </w:r>
            <w:r w:rsidR="00E36FC3">
              <w:rPr>
                <w:lang w:val="en-CA"/>
              </w:rPr>
              <w:t xml:space="preserve"> </w:t>
            </w:r>
            <w:r w:rsidRPr="00141CE8">
              <w:rPr>
                <w:lang w:val="en-CA"/>
              </w:rPr>
              <w:t>promptly resolved.</w:t>
            </w:r>
            <w:r w:rsidRPr="00141CE8" w:rsidDel="00141CE8">
              <w:rPr>
                <w:lang w:val="en-CA"/>
              </w:rPr>
              <w:t xml:space="preserve"> </w:t>
            </w:r>
            <w:r w:rsidRPr="00B50B8E">
              <w:t>(page 9-16)</w:t>
            </w:r>
          </w:p>
          <w:p w:rsidR="00610043" w:rsidRPr="00B50B8E" w:rsidRDefault="00610043" w:rsidP="00275851"/>
          <w:p w:rsidR="00610043" w:rsidRDefault="00610043" w:rsidP="00275851">
            <w:pPr>
              <w:rPr>
                <w:b/>
                <w:u w:val="single"/>
              </w:rPr>
            </w:pPr>
          </w:p>
          <w:p w:rsidR="00610043" w:rsidRDefault="00610043" w:rsidP="00275851">
            <w:pPr>
              <w:rPr>
                <w:b/>
                <w:u w:val="single"/>
              </w:rPr>
            </w:pPr>
          </w:p>
          <w:p w:rsidR="00610043" w:rsidRDefault="00610043" w:rsidP="00275851">
            <w:pPr>
              <w:rPr>
                <w:lang w:val="en-CA"/>
              </w:rPr>
            </w:pPr>
          </w:p>
          <w:p w:rsidR="00610043" w:rsidRDefault="00610043" w:rsidP="00275851">
            <w:pPr>
              <w:rPr>
                <w:lang w:val="en-CA"/>
              </w:rPr>
            </w:pPr>
          </w:p>
          <w:p w:rsidR="00610043" w:rsidRPr="00B50B8E" w:rsidRDefault="00610043" w:rsidP="00275851">
            <w:pPr>
              <w:rPr>
                <w:b/>
                <w:u w:val="single"/>
              </w:rPr>
            </w:pPr>
          </w:p>
          <w:p w:rsidR="00610043" w:rsidRDefault="00610043" w:rsidP="00DA3F5E">
            <w:r>
              <w:rPr>
                <w:lang w:val="en-CA"/>
              </w:rPr>
              <w:lastRenderedPageBreak/>
              <w:t xml:space="preserve">Credit Cards: </w:t>
            </w:r>
            <w:r>
              <w:t xml:space="preserve">No discussion of personal versus business expenses. </w:t>
            </w:r>
          </w:p>
          <w:p w:rsidR="00610043" w:rsidRDefault="00610043" w:rsidP="00DA3F5E"/>
          <w:p w:rsidR="00610043" w:rsidRDefault="00610043" w:rsidP="00DA3F5E">
            <w:pPr>
              <w:rPr>
                <w:lang w:val="en-CA"/>
              </w:rPr>
            </w:pPr>
          </w:p>
          <w:p w:rsidR="00610043" w:rsidRDefault="00610043" w:rsidP="00DA3F5E">
            <w:pPr>
              <w:rPr>
                <w:lang w:val="en-CA"/>
              </w:rPr>
            </w:pPr>
          </w:p>
          <w:p w:rsidR="00610043" w:rsidRDefault="00610043" w:rsidP="00DA3F5E">
            <w:pPr>
              <w:rPr>
                <w:lang w:val="en-CA"/>
              </w:rPr>
            </w:pPr>
          </w:p>
          <w:p w:rsidR="00610043" w:rsidRPr="00B50B8E" w:rsidRDefault="00610043" w:rsidP="00DA3F5E">
            <w:pPr>
              <w:rPr>
                <w:b/>
                <w:u w:val="single"/>
              </w:rPr>
            </w:pPr>
            <w:r w:rsidRPr="00B50B8E">
              <w:rPr>
                <w:lang w:val="en-CA"/>
              </w:rPr>
              <w:fldChar w:fldCharType="begin"/>
            </w:r>
            <w:r w:rsidRPr="00B50B8E">
              <w:rPr>
                <w:lang w:val="en-CA"/>
              </w:rPr>
              <w:instrText xml:space="preserve"> SEQ CHAPTER \h \r 1</w:instrText>
            </w:r>
            <w:r w:rsidRPr="00B50B8E">
              <w:fldChar w:fldCharType="end"/>
            </w:r>
            <w:r w:rsidRPr="00B50B8E">
              <w:t>Incurring late fees and penalties will result in forfeiture of the credit card.</w:t>
            </w:r>
            <w:r w:rsidR="00E42B8F">
              <w:t xml:space="preserve">  </w:t>
            </w:r>
            <w:r w:rsidRPr="00B50B8E">
              <w:t>(page 9-16(</w:t>
            </w:r>
            <w:r>
              <w:t>b</w:t>
            </w:r>
            <w:r w:rsidRPr="00B50B8E">
              <w:t>))</w:t>
            </w:r>
          </w:p>
          <w:p w:rsidR="00610043" w:rsidRDefault="00610043" w:rsidP="00275851">
            <w:pPr>
              <w:rPr>
                <w:b/>
                <w:u w:val="single"/>
              </w:rPr>
            </w:pPr>
          </w:p>
          <w:p w:rsidR="00E42B8F" w:rsidRPr="00B50B8E" w:rsidRDefault="00E42B8F" w:rsidP="00275851">
            <w:pPr>
              <w:rPr>
                <w:b/>
                <w:u w:val="single"/>
              </w:rPr>
            </w:pPr>
          </w:p>
          <w:p w:rsidR="00610043" w:rsidRPr="00B50B8E" w:rsidRDefault="00610043" w:rsidP="00275851">
            <w:r w:rsidRPr="00B50B8E">
              <w:rPr>
                <w:b/>
                <w:u w:val="single"/>
              </w:rPr>
              <w:t>Computer Systems</w:t>
            </w:r>
            <w:r w:rsidRPr="00B50B8E">
              <w:t>:</w:t>
            </w:r>
          </w:p>
          <w:p w:rsidR="00610043" w:rsidRPr="00B50B8E" w:rsidRDefault="00610043" w:rsidP="00275851"/>
          <w:p w:rsidR="00610043" w:rsidRPr="00B50B8E" w:rsidRDefault="00610043" w:rsidP="00275851">
            <w:r w:rsidRPr="00B50B8E">
              <w:t>No equivalent.</w:t>
            </w:r>
          </w:p>
          <w:p w:rsidR="00610043" w:rsidRPr="00B50B8E" w:rsidRDefault="00610043" w:rsidP="00275851"/>
          <w:p w:rsidR="00610043" w:rsidRPr="00B50B8E" w:rsidRDefault="00610043" w:rsidP="00275851"/>
          <w:p w:rsidR="00610043" w:rsidRPr="00B50B8E" w:rsidRDefault="00610043" w:rsidP="00275851"/>
          <w:p w:rsidR="00610043" w:rsidRPr="00B50B8E" w:rsidRDefault="00610043" w:rsidP="00275851">
            <w:r>
              <w:t>User passwords should be changed at least every 90 days. Additional password controls are appropriate for certain functions. (page 9-9)</w:t>
            </w:r>
          </w:p>
          <w:p w:rsidR="00610043" w:rsidRPr="00B50B8E" w:rsidRDefault="00610043" w:rsidP="00275851"/>
          <w:p w:rsidR="00610043" w:rsidRPr="00B50B8E" w:rsidRDefault="00610043" w:rsidP="00275851">
            <w:r>
              <w:t>No equivalent.</w:t>
            </w:r>
          </w:p>
          <w:p w:rsidR="00610043" w:rsidRPr="00B50B8E" w:rsidRDefault="00610043" w:rsidP="00275851"/>
          <w:p w:rsidR="00610043" w:rsidRPr="00B50B8E" w:rsidRDefault="00610043" w:rsidP="00275851">
            <w:pPr>
              <w:rPr>
                <w:b/>
                <w:u w:val="single"/>
              </w:rPr>
            </w:pPr>
          </w:p>
          <w:p w:rsidR="00610043" w:rsidRPr="00B50B8E" w:rsidRDefault="00610043" w:rsidP="00275851">
            <w:pPr>
              <w:rPr>
                <w:b/>
                <w:u w:val="single"/>
              </w:rPr>
            </w:pPr>
          </w:p>
          <w:p w:rsidR="00610043" w:rsidRPr="00054C3D" w:rsidRDefault="00610043" w:rsidP="00275851">
            <w:r>
              <w:t>The standing trustee should review user profiles at least annually. (page 9-10</w:t>
            </w:r>
            <w:r w:rsidRPr="00AC6C77">
              <w:t>)</w:t>
            </w:r>
          </w:p>
          <w:p w:rsidR="00610043" w:rsidRPr="00B50B8E" w:rsidRDefault="00610043" w:rsidP="00275851">
            <w:pPr>
              <w:rPr>
                <w:b/>
                <w:u w:val="single"/>
              </w:rPr>
            </w:pPr>
          </w:p>
          <w:p w:rsidR="00610043" w:rsidRPr="00B50B8E" w:rsidRDefault="00610043" w:rsidP="00275851">
            <w:pPr>
              <w:rPr>
                <w:b/>
                <w:u w:val="single"/>
              </w:rPr>
            </w:pPr>
          </w:p>
          <w:p w:rsidR="00610043" w:rsidRPr="00B50B8E" w:rsidRDefault="00610043" w:rsidP="00275851">
            <w:pPr>
              <w:rPr>
                <w:b/>
                <w:u w:val="single"/>
              </w:rPr>
            </w:pPr>
          </w:p>
          <w:p w:rsidR="00610043" w:rsidRPr="00B50B8E" w:rsidRDefault="00610043" w:rsidP="00275851"/>
          <w:p w:rsidR="00610043" w:rsidRDefault="00610043" w:rsidP="00275851"/>
          <w:p w:rsidR="00610043" w:rsidRPr="00054C3D" w:rsidRDefault="00610043" w:rsidP="00275851">
            <w:r w:rsidRPr="00054C3D">
              <w:t>No equivalent.</w:t>
            </w:r>
          </w:p>
          <w:p w:rsidR="00610043" w:rsidRDefault="00610043" w:rsidP="00275851">
            <w:pPr>
              <w:rPr>
                <w:b/>
                <w:u w:val="single"/>
              </w:rPr>
            </w:pPr>
          </w:p>
          <w:p w:rsidR="00610043" w:rsidRDefault="00610043" w:rsidP="00275851">
            <w:pPr>
              <w:rPr>
                <w:b/>
                <w:u w:val="single"/>
              </w:rPr>
            </w:pPr>
          </w:p>
          <w:p w:rsidR="00610043" w:rsidRDefault="00610043" w:rsidP="00275851">
            <w:r w:rsidRPr="00B50B8E">
              <w:rPr>
                <w:b/>
                <w:u w:val="single"/>
              </w:rPr>
              <w:t>Prohibition of Solicitation of Gratuities, Gifts or Other Remuneration or Thing of Value</w:t>
            </w:r>
            <w:r w:rsidRPr="00B50B8E">
              <w:t>:</w:t>
            </w:r>
          </w:p>
          <w:p w:rsidR="00610043" w:rsidRPr="00B50B8E" w:rsidRDefault="00610043" w:rsidP="00275851"/>
          <w:p w:rsidR="00610043" w:rsidRPr="00B50B8E" w:rsidRDefault="00610043" w:rsidP="00275851">
            <w:r w:rsidRPr="00B50B8E">
              <w:t>Neither the standing trustee nor any employee of the standing trustee may purchase assets of the trustee operation. (page 3-7)</w:t>
            </w:r>
          </w:p>
          <w:p w:rsidR="00610043" w:rsidRPr="00B50B8E" w:rsidRDefault="00610043" w:rsidP="00275851"/>
          <w:p w:rsidR="00610043" w:rsidRPr="00B50B8E" w:rsidRDefault="00610043" w:rsidP="00275851"/>
          <w:p w:rsidR="00610043" w:rsidRPr="00B50B8E" w:rsidRDefault="00610043" w:rsidP="00577F90">
            <w:r w:rsidRPr="00B50B8E">
              <w:t xml:space="preserve">The standing trustee may not act as agent for companies providing services or products to debtors. </w:t>
            </w:r>
            <w:r>
              <w:t xml:space="preserve"> Likewise, the standing trustee may not earn</w:t>
            </w:r>
            <w:r w:rsidR="00E36FC3">
              <w:t xml:space="preserve"> </w:t>
            </w:r>
            <w:r>
              <w:t>commissions or fees for the referral of debtors to debtor schools, to credit</w:t>
            </w:r>
            <w:r w:rsidR="00E36FC3">
              <w:t xml:space="preserve"> </w:t>
            </w:r>
            <w:r>
              <w:t>counselors or for providing debtor education.</w:t>
            </w:r>
            <w:r w:rsidRPr="00B50B8E">
              <w:t xml:space="preserve"> (page</w:t>
            </w:r>
            <w:r>
              <w:t>s</w:t>
            </w:r>
            <w:r w:rsidRPr="00B50B8E">
              <w:t xml:space="preserve"> 3-7</w:t>
            </w:r>
            <w:r>
              <w:t xml:space="preserve"> to 3-8</w:t>
            </w:r>
            <w:r w:rsidRPr="00B50B8E">
              <w:t>)</w:t>
            </w:r>
          </w:p>
          <w:p w:rsidR="00610043" w:rsidRPr="00B50B8E" w:rsidRDefault="00610043" w:rsidP="00275851"/>
          <w:p w:rsidR="00610043" w:rsidRDefault="00610043" w:rsidP="00275851">
            <w:r w:rsidRPr="00B50B8E">
              <w:rPr>
                <w:b/>
                <w:u w:val="single"/>
              </w:rPr>
              <w:t>Transmission of Documents</w:t>
            </w:r>
            <w:r w:rsidRPr="00B50B8E">
              <w:t>:</w:t>
            </w:r>
          </w:p>
          <w:p w:rsidR="00610043" w:rsidRPr="00B50B8E" w:rsidRDefault="00610043" w:rsidP="00275851"/>
          <w:p w:rsidR="00610043" w:rsidRPr="00B50B8E" w:rsidRDefault="00610043" w:rsidP="00275851">
            <w:pPr>
              <w:rPr>
                <w:b/>
                <w:u w:val="single"/>
              </w:rPr>
            </w:pPr>
            <w:r w:rsidRPr="00B50B8E">
              <w:rPr>
                <w:lang w:val="en-CA"/>
              </w:rPr>
              <w:fldChar w:fldCharType="begin"/>
            </w:r>
            <w:r w:rsidRPr="00B50B8E">
              <w:rPr>
                <w:lang w:val="en-CA"/>
              </w:rPr>
              <w:instrText xml:space="preserve"> SEQ CHAPTER \h \r 1</w:instrText>
            </w:r>
            <w:r w:rsidRPr="00B50B8E">
              <w:rPr>
                <w:lang w:val="en-CA"/>
              </w:rPr>
              <w:fldChar w:fldCharType="end"/>
            </w:r>
            <w:r w:rsidRPr="00B50B8E">
              <w:t>Claims should be handled in accordance with FRBP 3002 and 5005 and applicable local rules. (page 3-10)</w:t>
            </w:r>
          </w:p>
          <w:p w:rsidR="00610043" w:rsidRPr="00B50B8E" w:rsidRDefault="00610043" w:rsidP="00275851">
            <w:pPr>
              <w:rPr>
                <w:b/>
                <w:u w:val="single"/>
              </w:rPr>
            </w:pPr>
          </w:p>
          <w:p w:rsidR="00610043" w:rsidRPr="00B50B8E" w:rsidRDefault="00610043" w:rsidP="00275851"/>
          <w:p w:rsidR="008538B1" w:rsidRDefault="008538B1" w:rsidP="00275851">
            <w:pPr>
              <w:rPr>
                <w:b/>
                <w:u w:val="single"/>
              </w:rPr>
            </w:pPr>
          </w:p>
          <w:p w:rsidR="008538B1" w:rsidRDefault="008538B1" w:rsidP="00275851">
            <w:pPr>
              <w:rPr>
                <w:b/>
                <w:u w:val="single"/>
              </w:rPr>
            </w:pPr>
          </w:p>
          <w:p w:rsidR="008538B1" w:rsidRDefault="008538B1" w:rsidP="00275851">
            <w:pPr>
              <w:rPr>
                <w:b/>
                <w:u w:val="single"/>
              </w:rPr>
            </w:pPr>
          </w:p>
          <w:p w:rsidR="008538B1" w:rsidRDefault="008538B1" w:rsidP="00275851">
            <w:pPr>
              <w:rPr>
                <w:b/>
                <w:u w:val="single"/>
              </w:rPr>
            </w:pPr>
          </w:p>
          <w:p w:rsidR="00610043" w:rsidRPr="00181F63" w:rsidRDefault="00610043" w:rsidP="00275851">
            <w:pPr>
              <w:rPr>
                <w:b/>
                <w:u w:val="single"/>
              </w:rPr>
            </w:pPr>
            <w:r w:rsidRPr="00181F63">
              <w:rPr>
                <w:b/>
                <w:u w:val="single"/>
              </w:rPr>
              <w:lastRenderedPageBreak/>
              <w:t>Trustee Surety Bonds:</w:t>
            </w:r>
          </w:p>
          <w:p w:rsidR="00610043" w:rsidRDefault="00610043" w:rsidP="00275851"/>
          <w:p w:rsidR="00610043" w:rsidRPr="00B50B8E" w:rsidRDefault="00610043" w:rsidP="00275851">
            <w:r>
              <w:t>No equivalent.</w:t>
            </w:r>
          </w:p>
          <w:p w:rsidR="00610043" w:rsidRDefault="00610043" w:rsidP="00275851"/>
          <w:p w:rsidR="00610043" w:rsidRPr="00B50B8E" w:rsidRDefault="00610043" w:rsidP="00275851"/>
          <w:p w:rsidR="00610043" w:rsidRPr="00B50B8E" w:rsidRDefault="00610043" w:rsidP="00275851"/>
          <w:p w:rsidR="00610043" w:rsidRPr="00B50B8E" w:rsidRDefault="00610043" w:rsidP="00305203">
            <w:r>
              <w:t>As soon as the standing trustee becomes aware of an incident which may give rise</w:t>
            </w:r>
            <w:r w:rsidR="00E42B8F">
              <w:t xml:space="preserve"> </w:t>
            </w:r>
            <w:r>
              <w:t>to a bond claim, the standing trustee must notify the UST and the bonding company. (page 2-2)</w:t>
            </w:r>
          </w:p>
          <w:p w:rsidR="00610043" w:rsidRPr="00B50B8E" w:rsidRDefault="00610043" w:rsidP="00275851">
            <w:pPr>
              <w:rPr>
                <w:b/>
                <w:u w:val="single"/>
              </w:rPr>
            </w:pPr>
          </w:p>
          <w:p w:rsidR="00610043" w:rsidRDefault="00610043" w:rsidP="00275851">
            <w:pPr>
              <w:rPr>
                <w:b/>
                <w:u w:val="single"/>
              </w:rPr>
            </w:pPr>
          </w:p>
          <w:p w:rsidR="00E42B8F" w:rsidRDefault="00E42B8F" w:rsidP="00275851">
            <w:pPr>
              <w:rPr>
                <w:b/>
                <w:u w:val="single"/>
              </w:rPr>
            </w:pPr>
          </w:p>
          <w:p w:rsidR="00610043" w:rsidRDefault="00610043" w:rsidP="00275851"/>
          <w:p w:rsidR="00610043" w:rsidRPr="001D456A" w:rsidRDefault="00610043" w:rsidP="00275851">
            <w:r w:rsidRPr="001D456A">
              <w:t>No equivalent.</w:t>
            </w:r>
          </w:p>
          <w:p w:rsidR="00610043" w:rsidRPr="00B50B8E" w:rsidRDefault="00610043" w:rsidP="00275851">
            <w:pPr>
              <w:rPr>
                <w:b/>
                <w:u w:val="single"/>
              </w:rPr>
            </w:pPr>
          </w:p>
          <w:p w:rsidR="00610043" w:rsidRDefault="00610043" w:rsidP="00275851">
            <w:pPr>
              <w:rPr>
                <w:b/>
                <w:u w:val="single"/>
              </w:rPr>
            </w:pPr>
          </w:p>
          <w:p w:rsidR="00610043" w:rsidRDefault="00610043" w:rsidP="00275851">
            <w:pPr>
              <w:rPr>
                <w:b/>
                <w:u w:val="single"/>
              </w:rPr>
            </w:pPr>
            <w:r w:rsidRPr="00B50B8E">
              <w:rPr>
                <w:b/>
                <w:u w:val="single"/>
              </w:rPr>
              <w:t>Settlements:</w:t>
            </w:r>
          </w:p>
          <w:p w:rsidR="00610043" w:rsidRPr="00B50B8E" w:rsidRDefault="00610043" w:rsidP="00275851"/>
          <w:p w:rsidR="00610043" w:rsidRPr="00B50B8E" w:rsidRDefault="00610043" w:rsidP="00275851">
            <w:r w:rsidRPr="00B50B8E">
              <w:t>No equivalent.</w:t>
            </w:r>
          </w:p>
          <w:p w:rsidR="00610043" w:rsidRPr="00B50B8E" w:rsidRDefault="00610043" w:rsidP="00275851">
            <w:pPr>
              <w:rPr>
                <w:b/>
                <w:u w:val="single"/>
              </w:rPr>
            </w:pPr>
          </w:p>
          <w:p w:rsidR="00610043" w:rsidRPr="00B50B8E" w:rsidRDefault="00610043" w:rsidP="00275851">
            <w:pPr>
              <w:rPr>
                <w:b/>
                <w:u w:val="single"/>
              </w:rPr>
            </w:pPr>
          </w:p>
          <w:p w:rsidR="00610043" w:rsidRPr="00B50B8E" w:rsidRDefault="00610043" w:rsidP="00275851">
            <w:pPr>
              <w:rPr>
                <w:b/>
                <w:u w:val="single"/>
              </w:rPr>
            </w:pPr>
          </w:p>
          <w:p w:rsidR="00610043" w:rsidRPr="00B50B8E" w:rsidRDefault="00610043" w:rsidP="006A6CD2">
            <w:r w:rsidRPr="00B50B8E">
              <w:rPr>
                <w:b/>
                <w:u w:val="single"/>
              </w:rPr>
              <w:t>Retention of Records</w:t>
            </w:r>
            <w:r w:rsidRPr="00B50B8E">
              <w:t>: (page 10-3)</w:t>
            </w:r>
          </w:p>
          <w:p w:rsidR="00610043" w:rsidRPr="004F41BF" w:rsidRDefault="00610043" w:rsidP="00275851"/>
          <w:p w:rsidR="00610043" w:rsidRPr="00B50B8E" w:rsidRDefault="00610043" w:rsidP="00275851">
            <w:pPr>
              <w:rPr>
                <w:b/>
                <w:u w:val="single"/>
              </w:rPr>
            </w:pPr>
          </w:p>
          <w:p w:rsidR="00610043" w:rsidRPr="00B50B8E" w:rsidRDefault="00610043" w:rsidP="00275851">
            <w:pPr>
              <w:rPr>
                <w:b/>
                <w:u w:val="single"/>
              </w:rPr>
            </w:pPr>
          </w:p>
          <w:p w:rsidR="00610043" w:rsidRDefault="00610043" w:rsidP="00275851">
            <w:pPr>
              <w:rPr>
                <w:b/>
                <w:u w:val="single"/>
              </w:rPr>
            </w:pPr>
          </w:p>
          <w:p w:rsidR="00610043" w:rsidRPr="00B50B8E" w:rsidRDefault="00610043" w:rsidP="00275851">
            <w:pPr>
              <w:rPr>
                <w:b/>
                <w:u w:val="single"/>
              </w:rPr>
            </w:pPr>
          </w:p>
          <w:p w:rsidR="00610043" w:rsidRPr="00B50B8E" w:rsidRDefault="00610043" w:rsidP="00275851">
            <w:r w:rsidRPr="00B50B8E">
              <w:rPr>
                <w:b/>
                <w:u w:val="single"/>
              </w:rPr>
              <w:lastRenderedPageBreak/>
              <w:t>Annual and Amended Budgets</w:t>
            </w:r>
            <w:r w:rsidRPr="00B50B8E">
              <w:t>:</w:t>
            </w:r>
          </w:p>
          <w:p w:rsidR="00610043" w:rsidRPr="00B50B8E" w:rsidRDefault="00610043" w:rsidP="00275851"/>
          <w:p w:rsidR="00610043" w:rsidRPr="00B50B8E" w:rsidRDefault="00610043" w:rsidP="00275851">
            <w:r w:rsidRPr="00AA5D5E">
              <w:t>Budget must be amended when:</w:t>
            </w:r>
          </w:p>
          <w:p w:rsidR="00610043" w:rsidRDefault="00610043" w:rsidP="00AA5D5E">
            <w:r>
              <w:t>-increase in employee expenses (except for overtime and benefits relating to</w:t>
            </w:r>
            <w:r w:rsidR="008538B1">
              <w:t xml:space="preserve"> </w:t>
            </w:r>
            <w:r>
              <w:t>overtime);</w:t>
            </w:r>
          </w:p>
          <w:p w:rsidR="00610043" w:rsidRPr="00B50B8E" w:rsidRDefault="00610043" w:rsidP="00AA5D5E">
            <w:r>
              <w:t>-increase in an employee's salary;</w:t>
            </w:r>
          </w:p>
          <w:p w:rsidR="00610043" w:rsidRPr="00B50B8E" w:rsidRDefault="00610043" w:rsidP="00275851">
            <w:r>
              <w:t>-</w:t>
            </w:r>
            <w:r w:rsidRPr="00AA5D5E">
              <w:t>increase in lease payments</w:t>
            </w:r>
            <w:r>
              <w:t>… (page 9-18)</w:t>
            </w:r>
          </w:p>
          <w:p w:rsidR="00610043" w:rsidRPr="00B50B8E" w:rsidRDefault="00610043" w:rsidP="00275851"/>
          <w:p w:rsidR="00610043" w:rsidRPr="00B50B8E" w:rsidRDefault="00610043" w:rsidP="00275851">
            <w:r>
              <w:t>No equivalent.</w:t>
            </w:r>
          </w:p>
          <w:p w:rsidR="00610043" w:rsidRPr="00B50B8E" w:rsidRDefault="00610043" w:rsidP="00275851"/>
          <w:p w:rsidR="00610043" w:rsidRPr="00B50B8E" w:rsidRDefault="00610043" w:rsidP="00275851"/>
          <w:p w:rsidR="00610043" w:rsidRPr="00B50B8E" w:rsidRDefault="00610043" w:rsidP="00275851"/>
          <w:p w:rsidR="00610043" w:rsidRPr="00B50B8E" w:rsidRDefault="00610043" w:rsidP="00DC66E6">
            <w:r>
              <w:t>The overall employee benefits package should be no greater than that provided in the community in which the standing trustee's operation is located for similarly sized service businesses. (page 9-20)</w:t>
            </w:r>
          </w:p>
          <w:p w:rsidR="00610043" w:rsidRDefault="00610043" w:rsidP="00275851"/>
          <w:p w:rsidR="00610043" w:rsidRDefault="00610043" w:rsidP="00275851">
            <w:r>
              <w:t>No equivalent.</w:t>
            </w:r>
          </w:p>
          <w:p w:rsidR="00610043" w:rsidRDefault="00610043" w:rsidP="00275851"/>
          <w:p w:rsidR="00610043" w:rsidRDefault="00610043" w:rsidP="00275851"/>
          <w:p w:rsidR="00610043" w:rsidRDefault="00610043" w:rsidP="00275851"/>
          <w:p w:rsidR="00610043" w:rsidRDefault="00610043" w:rsidP="00275851"/>
          <w:p w:rsidR="00610043" w:rsidRDefault="00610043" w:rsidP="00275851"/>
          <w:p w:rsidR="00610043" w:rsidRDefault="00610043" w:rsidP="00275851">
            <w:r w:rsidRPr="00B50B8E">
              <w:t xml:space="preserve">Standing trustee </w:t>
            </w:r>
            <w:r w:rsidRPr="00B50B8E">
              <w:rPr>
                <w:u w:val="single"/>
              </w:rPr>
              <w:t>may request</w:t>
            </w:r>
            <w:r w:rsidRPr="00B50B8E">
              <w:t xml:space="preserve"> to retain an outside compensation consultant approximately every five years. (page 9-20)</w:t>
            </w:r>
          </w:p>
          <w:p w:rsidR="00610043" w:rsidRDefault="00610043" w:rsidP="00275851"/>
          <w:p w:rsidR="00610043" w:rsidRPr="00B50B8E" w:rsidRDefault="00610043" w:rsidP="00275851">
            <w:r>
              <w:t xml:space="preserve">Office leases whose terms extend beyond </w:t>
            </w:r>
            <w:r w:rsidRPr="00401CA0">
              <w:rPr>
                <w:u w:val="single"/>
              </w:rPr>
              <w:t>five</w:t>
            </w:r>
            <w:r>
              <w:t xml:space="preserve"> years are discouraged. (page 9-21</w:t>
            </w:r>
            <w:r w:rsidRPr="00401CA0">
              <w:t>)</w:t>
            </w:r>
          </w:p>
          <w:p w:rsidR="00610043" w:rsidRPr="00B50B8E" w:rsidRDefault="00610043" w:rsidP="00275851">
            <w:pPr>
              <w:rPr>
                <w:lang w:val="en-CA"/>
              </w:rPr>
            </w:pPr>
            <w:bookmarkStart w:id="0" w:name="_GoBack"/>
            <w:bookmarkEnd w:id="0"/>
          </w:p>
          <w:p w:rsidR="00610043" w:rsidRPr="00B50B8E" w:rsidRDefault="00610043" w:rsidP="00275851">
            <w:pPr>
              <w:rPr>
                <w:lang w:val="en-CA"/>
              </w:rPr>
            </w:pPr>
            <w:r w:rsidRPr="00B50B8E">
              <w:rPr>
                <w:lang w:val="en-CA"/>
              </w:rPr>
              <w:fldChar w:fldCharType="begin"/>
            </w:r>
            <w:r w:rsidRPr="00B50B8E">
              <w:rPr>
                <w:lang w:val="en-CA"/>
              </w:rPr>
              <w:instrText xml:space="preserve"> SEQ CHAPTER \h \r 1</w:instrText>
            </w:r>
            <w:r w:rsidRPr="00B50B8E">
              <w:rPr>
                <w:lang w:val="en-CA"/>
              </w:rPr>
              <w:fldChar w:fldCharType="end"/>
            </w:r>
            <w:r w:rsidRPr="00B50B8E">
              <w:t xml:space="preserve">Reimbursement for meals is authorized if the official travel causes the standing trustee or an employee to be away from the office for more than </w:t>
            </w:r>
            <w:r w:rsidRPr="00723F59">
              <w:rPr>
                <w:u w:val="single"/>
              </w:rPr>
              <w:t>ten</w:t>
            </w:r>
            <w:r w:rsidRPr="00B50B8E">
              <w:t xml:space="preserve"> consecutive hours. (page 9-25)</w:t>
            </w:r>
          </w:p>
          <w:p w:rsidR="00610043" w:rsidRPr="00B50B8E" w:rsidRDefault="00610043" w:rsidP="00275851">
            <w:pPr>
              <w:rPr>
                <w:lang w:val="en-CA"/>
              </w:rPr>
            </w:pPr>
          </w:p>
          <w:p w:rsidR="00610043" w:rsidRPr="00B50B8E" w:rsidRDefault="00610043" w:rsidP="00275851">
            <w:pPr>
              <w:rPr>
                <w:b/>
                <w:u w:val="single"/>
              </w:rPr>
            </w:pPr>
          </w:p>
          <w:p w:rsidR="00610043" w:rsidRPr="00B50B8E" w:rsidRDefault="00610043" w:rsidP="00275851">
            <w:pPr>
              <w:rPr>
                <w:b/>
                <w:u w:val="single"/>
              </w:rPr>
            </w:pPr>
          </w:p>
          <w:p w:rsidR="00610043" w:rsidRPr="00B50B8E" w:rsidRDefault="00610043" w:rsidP="00275851">
            <w:r w:rsidRPr="00B50B8E">
              <w:rPr>
                <w:b/>
                <w:u w:val="single"/>
              </w:rPr>
              <w:t>Monthly Reports</w:t>
            </w:r>
            <w:r w:rsidRPr="00B50B8E">
              <w:t>:</w:t>
            </w:r>
          </w:p>
          <w:p w:rsidR="00610043" w:rsidRPr="00B50B8E" w:rsidRDefault="00610043" w:rsidP="00275851"/>
          <w:p w:rsidR="00610043" w:rsidRPr="00913664" w:rsidRDefault="00610043" w:rsidP="00913664">
            <w:r w:rsidRPr="00913664">
              <w:t>The report to the</w:t>
            </w:r>
            <w:r>
              <w:t xml:space="preserve"> UST </w:t>
            </w:r>
            <w:r w:rsidRPr="00913664">
              <w:t>must</w:t>
            </w:r>
            <w:r>
              <w:t xml:space="preserve"> </w:t>
            </w:r>
            <w:r w:rsidRPr="00913664">
              <w:t>be sent within thirty (30) days after the end of the month</w:t>
            </w:r>
            <w:r>
              <w:t>. (page 9-7)</w:t>
            </w:r>
          </w:p>
          <w:p w:rsidR="00610043" w:rsidRPr="00B50B8E" w:rsidRDefault="00610043" w:rsidP="00275851">
            <w:pPr>
              <w:rPr>
                <w:b/>
                <w:u w:val="single"/>
              </w:rPr>
            </w:pPr>
          </w:p>
          <w:p w:rsidR="00610043" w:rsidRPr="00B50B8E" w:rsidRDefault="00610043" w:rsidP="00275851">
            <w:pPr>
              <w:rPr>
                <w:b/>
                <w:u w:val="single"/>
              </w:rPr>
            </w:pPr>
          </w:p>
          <w:p w:rsidR="00610043" w:rsidRPr="00B50B8E" w:rsidRDefault="00610043" w:rsidP="00275851">
            <w:pPr>
              <w:rPr>
                <w:b/>
                <w:u w:val="single"/>
              </w:rPr>
            </w:pPr>
            <w:r w:rsidRPr="00B50B8E">
              <w:rPr>
                <w:b/>
                <w:u w:val="single"/>
              </w:rPr>
              <w:t>Independent Audits</w:t>
            </w:r>
            <w:r w:rsidRPr="00B50B8E">
              <w:t>:</w:t>
            </w:r>
          </w:p>
          <w:p w:rsidR="00610043" w:rsidRPr="00B50B8E" w:rsidRDefault="00610043" w:rsidP="00275851"/>
          <w:p w:rsidR="00610043" w:rsidRPr="00B50B8E" w:rsidRDefault="00610043" w:rsidP="00275851">
            <w:r w:rsidRPr="00B50B8E">
              <w:t>No equivalent.</w:t>
            </w:r>
          </w:p>
          <w:p w:rsidR="00610043" w:rsidRPr="00B50B8E" w:rsidRDefault="00610043" w:rsidP="00275851"/>
          <w:p w:rsidR="00610043" w:rsidRPr="00B50B8E" w:rsidRDefault="00610043" w:rsidP="00275851"/>
          <w:p w:rsidR="00610043" w:rsidRPr="00B50B8E" w:rsidRDefault="00610043" w:rsidP="00275851"/>
          <w:p w:rsidR="00610043" w:rsidRPr="00B50B8E" w:rsidRDefault="00610043" w:rsidP="00275851"/>
          <w:p w:rsidR="00610043" w:rsidRPr="00B50B8E" w:rsidRDefault="00610043" w:rsidP="00275851"/>
          <w:p w:rsidR="00610043" w:rsidRPr="00B50B8E" w:rsidRDefault="00610043" w:rsidP="00275851"/>
        </w:tc>
        <w:tc>
          <w:tcPr>
            <w:tcW w:w="0" w:type="auto"/>
            <w:shd w:val="clear" w:color="auto" w:fill="auto"/>
          </w:tcPr>
          <w:p w:rsidR="00610043" w:rsidRPr="00E1552A" w:rsidRDefault="00610043" w:rsidP="00275851">
            <w:pPr>
              <w:rPr>
                <w:b/>
                <w:u w:val="single"/>
              </w:rPr>
            </w:pPr>
          </w:p>
          <w:p w:rsidR="00610043" w:rsidRDefault="00610043" w:rsidP="00275851">
            <w:r w:rsidRPr="00E1552A">
              <w:rPr>
                <w:b/>
                <w:u w:val="single"/>
              </w:rPr>
              <w:t>General</w:t>
            </w:r>
            <w:r w:rsidRPr="00E1552A">
              <w:rPr>
                <w:b/>
              </w:rPr>
              <w:t>:</w:t>
            </w:r>
          </w:p>
          <w:p w:rsidR="00610043" w:rsidRPr="00B50B8E" w:rsidRDefault="00610043" w:rsidP="00275851"/>
          <w:p w:rsidR="00610043" w:rsidRPr="00BA088E" w:rsidRDefault="00610043" w:rsidP="00275851">
            <w:r w:rsidRPr="00B50B8E">
              <w:t>7 Chapters – reorganized</w:t>
            </w:r>
            <w:r w:rsidRPr="00BA088E">
              <w:t>.</w:t>
            </w:r>
          </w:p>
          <w:p w:rsidR="00610043" w:rsidRPr="00BA088E" w:rsidRDefault="00610043" w:rsidP="00275851"/>
          <w:p w:rsidR="00610043" w:rsidRPr="00BA088E" w:rsidRDefault="00610043" w:rsidP="00275851">
            <w:r>
              <w:t>Citations provided to statutes and rules.</w:t>
            </w:r>
            <w:r w:rsidRPr="00BA088E">
              <w:t xml:space="preserve"> </w:t>
            </w:r>
            <w:r>
              <w:t xml:space="preserve"> </w:t>
            </w:r>
          </w:p>
          <w:p w:rsidR="00610043" w:rsidRPr="00BA088E" w:rsidRDefault="00610043" w:rsidP="00275851"/>
          <w:p w:rsidR="00610043" w:rsidRDefault="00610043" w:rsidP="00275851">
            <w:r w:rsidRPr="00BA088E">
              <w:t>“Must” is used to indicate mandatory trustee duty.</w:t>
            </w:r>
            <w:r>
              <w:t xml:space="preserve"> </w:t>
            </w:r>
          </w:p>
          <w:p w:rsidR="00610043" w:rsidRDefault="00610043" w:rsidP="00275851"/>
          <w:p w:rsidR="00FB6226" w:rsidRPr="00BA088E" w:rsidRDefault="00FB6226" w:rsidP="00275851"/>
          <w:p w:rsidR="00610043" w:rsidRDefault="00610043" w:rsidP="00275851">
            <w:r>
              <w:t>Practice Tips at end of section.</w:t>
            </w:r>
          </w:p>
          <w:p w:rsidR="00610043" w:rsidRDefault="00610043" w:rsidP="00275851"/>
          <w:p w:rsidR="00610043" w:rsidRDefault="00610043" w:rsidP="00275851">
            <w:r w:rsidRPr="00BA088E">
              <w:t xml:space="preserve">Supplemental Materials will be on </w:t>
            </w:r>
            <w:r w:rsidRPr="00E1552A">
              <w:rPr>
                <w:u w:val="single"/>
              </w:rPr>
              <w:t>USTP webpage</w:t>
            </w:r>
            <w:r w:rsidRPr="00BA088E">
              <w:t>.</w:t>
            </w:r>
          </w:p>
          <w:p w:rsidR="00610043" w:rsidRPr="00BA088E" w:rsidRDefault="00610043" w:rsidP="00275851"/>
          <w:p w:rsidR="00610043" w:rsidRPr="00E1552A" w:rsidRDefault="00610043" w:rsidP="00275851">
            <w:pPr>
              <w:rPr>
                <w:b/>
              </w:rPr>
            </w:pPr>
            <w:r w:rsidRPr="00E1552A">
              <w:rPr>
                <w:b/>
                <w:u w:val="single"/>
              </w:rPr>
              <w:t>Statutory Duties of a Standing Trustee</w:t>
            </w:r>
            <w:r w:rsidRPr="00E1552A">
              <w:rPr>
                <w:b/>
              </w:rPr>
              <w:t>:</w:t>
            </w:r>
          </w:p>
          <w:p w:rsidR="00610043" w:rsidRPr="00E1552A" w:rsidRDefault="00610043" w:rsidP="00275851">
            <w:pPr>
              <w:rPr>
                <w:b/>
              </w:rPr>
            </w:pPr>
          </w:p>
          <w:p w:rsidR="00610043" w:rsidRDefault="00610043" w:rsidP="00275851">
            <w:r w:rsidRPr="00BA088E">
              <w:t xml:space="preserve">Standing trustee has a fiduciary responsibility to the </w:t>
            </w:r>
            <w:r w:rsidRPr="00E1552A">
              <w:rPr>
                <w:u w:val="single"/>
              </w:rPr>
              <w:t>bankruptcy estate</w:t>
            </w:r>
            <w:r w:rsidRPr="00BA088E">
              <w:t>.</w:t>
            </w:r>
            <w:r>
              <w:t xml:space="preserve"> (page 1-2) </w:t>
            </w:r>
          </w:p>
          <w:p w:rsidR="00610043" w:rsidRPr="00E1552A" w:rsidRDefault="00610043" w:rsidP="00275851">
            <w:pPr>
              <w:rPr>
                <w:b/>
              </w:rPr>
            </w:pPr>
          </w:p>
          <w:p w:rsidR="00610043" w:rsidRPr="00E1552A" w:rsidRDefault="00610043" w:rsidP="00275851">
            <w:pPr>
              <w:rPr>
                <w:b/>
              </w:rPr>
            </w:pPr>
            <w:r w:rsidRPr="00E1552A">
              <w:rPr>
                <w:b/>
                <w:u w:val="single"/>
              </w:rPr>
              <w:t>Conflicts of Interest</w:t>
            </w:r>
            <w:r w:rsidRPr="00E1552A">
              <w:rPr>
                <w:b/>
              </w:rPr>
              <w:t>:</w:t>
            </w:r>
          </w:p>
          <w:p w:rsidR="00610043" w:rsidRPr="00E1552A" w:rsidRDefault="00610043" w:rsidP="00275851">
            <w:pPr>
              <w:rPr>
                <w:b/>
              </w:rPr>
            </w:pPr>
          </w:p>
          <w:p w:rsidR="00610043" w:rsidRPr="009922BB" w:rsidRDefault="00610043" w:rsidP="00275851">
            <w:r w:rsidRPr="009922BB">
              <w:t xml:space="preserve">If the standing trustee </w:t>
            </w:r>
            <w:r w:rsidRPr="00E1552A">
              <w:rPr>
                <w:u w:val="single"/>
              </w:rPr>
              <w:t>or employee</w:t>
            </w:r>
            <w:r w:rsidRPr="009922BB">
              <w:t xml:space="preserve"> of a standing trustee is otherwise engaged in another occupation, business or practice </w:t>
            </w:r>
            <w:r w:rsidRPr="00E1552A">
              <w:rPr>
                <w:u w:val="single"/>
              </w:rPr>
              <w:t>related to</w:t>
            </w:r>
            <w:r w:rsidRPr="009922BB">
              <w:t xml:space="preserve"> bankruptcy debtors or creditors, or is affiliated with an entity that conducts such a business or practice, the standing trustee must promptly disclose in writing to the </w:t>
            </w:r>
            <w:r>
              <w:t>UST</w:t>
            </w:r>
            <w:r w:rsidRPr="009922BB">
              <w:t>.</w:t>
            </w:r>
            <w:r>
              <w:t xml:space="preserve">  (page 3-2)</w:t>
            </w:r>
            <w:r w:rsidRPr="009922BB">
              <w:t xml:space="preserve"> </w:t>
            </w:r>
          </w:p>
          <w:p w:rsidR="00610043" w:rsidRDefault="00610043" w:rsidP="00275851"/>
          <w:p w:rsidR="00610043" w:rsidRDefault="00610043" w:rsidP="00275851">
            <w:r w:rsidRPr="00E1552A">
              <w:rPr>
                <w:b/>
                <w:u w:val="single"/>
              </w:rPr>
              <w:lastRenderedPageBreak/>
              <w:t>Meeting of Creditors</w:t>
            </w:r>
            <w:r>
              <w:t>:</w:t>
            </w:r>
          </w:p>
          <w:p w:rsidR="00610043" w:rsidRDefault="00610043" w:rsidP="00275851"/>
          <w:p w:rsidR="00610043" w:rsidRDefault="00610043" w:rsidP="0028579C">
            <w:r>
              <w:t>If the meeting docket regularly lasts longer than the scheduled time or routinely requires lengthy waits by debtors and creditors, the standing trustee should consult with UST. (page 3-9)</w:t>
            </w:r>
          </w:p>
          <w:p w:rsidR="00610043" w:rsidRDefault="00610043" w:rsidP="00275851"/>
          <w:p w:rsidR="00610043" w:rsidRDefault="00610043" w:rsidP="00275851">
            <w:r w:rsidRPr="00CE0918">
              <w:t xml:space="preserve">If the standing trustee must continue a meeting, the standing trustee </w:t>
            </w:r>
            <w:r w:rsidRPr="00E1552A">
              <w:rPr>
                <w:u w:val="single"/>
              </w:rPr>
              <w:t>must</w:t>
            </w:r>
            <w:r w:rsidRPr="00CE0918">
              <w:t xml:space="preserve"> announce the continued date to all parties present, advise the </w:t>
            </w:r>
            <w:r>
              <w:t>UST</w:t>
            </w:r>
            <w:r w:rsidRPr="00CE0918">
              <w:t xml:space="preserve">, if requested, and </w:t>
            </w:r>
            <w:r w:rsidRPr="00E1552A">
              <w:rPr>
                <w:u w:val="single"/>
              </w:rPr>
              <w:t>file a statement</w:t>
            </w:r>
            <w:r w:rsidRPr="00CE0918">
              <w:t xml:space="preserve"> specifying the date and time to which the meeting is continued.</w:t>
            </w:r>
            <w:r>
              <w:t xml:space="preserve"> (pages 3-9 and 3–10)</w:t>
            </w:r>
          </w:p>
          <w:p w:rsidR="00610043" w:rsidRDefault="00610043" w:rsidP="00275851"/>
          <w:p w:rsidR="00610043" w:rsidRDefault="00610043" w:rsidP="00275851">
            <w:r w:rsidRPr="00E84D16">
              <w:t xml:space="preserve">If </w:t>
            </w:r>
            <w:r w:rsidRPr="00513FA2">
              <w:rPr>
                <w:u w:val="single"/>
              </w:rPr>
              <w:t>debtor’s identity cannot be confirmed</w:t>
            </w:r>
            <w:r w:rsidRPr="00E84D16">
              <w:t xml:space="preserve">, or </w:t>
            </w:r>
            <w:r>
              <w:t>SSN</w:t>
            </w:r>
            <w:r w:rsidRPr="00E84D16">
              <w:t xml:space="preserve"> listed on bankruptcy documents </w:t>
            </w:r>
            <w:r w:rsidRPr="00513FA2">
              <w:rPr>
                <w:u w:val="single"/>
              </w:rPr>
              <w:t>cannot be confirmed</w:t>
            </w:r>
            <w:r w:rsidRPr="00E84D16">
              <w:t xml:space="preserve"> or is incorrect, the </w:t>
            </w:r>
            <w:r w:rsidRPr="00513FA2">
              <w:rPr>
                <w:u w:val="single"/>
              </w:rPr>
              <w:t>standing trustee must refer</w:t>
            </w:r>
            <w:r w:rsidRPr="009677C6">
              <w:t xml:space="preserve"> the matter to UST</w:t>
            </w:r>
            <w:r>
              <w:t>. (page 3-11)</w:t>
            </w:r>
            <w:r w:rsidRPr="00E84D16">
              <w:t xml:space="preserve"> </w:t>
            </w:r>
          </w:p>
          <w:p w:rsidR="00610043" w:rsidRDefault="00610043" w:rsidP="00275851"/>
          <w:p w:rsidR="00610043" w:rsidRDefault="00610043" w:rsidP="00275851">
            <w:r w:rsidRPr="0044155A">
              <w:t xml:space="preserve">The electronic recording shall be delivered </w:t>
            </w:r>
            <w:r>
              <w:t>UST</w:t>
            </w:r>
            <w:r w:rsidRPr="0044155A">
              <w:t xml:space="preserve"> as soon as practicable</w:t>
            </w:r>
            <w:r>
              <w:t xml:space="preserve">, </w:t>
            </w:r>
            <w:r w:rsidRPr="00513FA2">
              <w:rPr>
                <w:u w:val="single"/>
              </w:rPr>
              <w:t>unless otherwise instructed by the UST</w:t>
            </w:r>
            <w:r w:rsidRPr="0044155A">
              <w:t xml:space="preserve">. </w:t>
            </w:r>
            <w:r>
              <w:t>(page 3-15)</w:t>
            </w:r>
            <w:r w:rsidRPr="0044155A">
              <w:t xml:space="preserve"> </w:t>
            </w:r>
          </w:p>
          <w:p w:rsidR="00610043" w:rsidRDefault="00610043" w:rsidP="00275851"/>
          <w:p w:rsidR="00610043" w:rsidRDefault="00610043" w:rsidP="00275851">
            <w:r w:rsidRPr="00F96A36">
              <w:t>When debtor fails to appear under circumstances not excused by</w:t>
            </w:r>
            <w:r>
              <w:t xml:space="preserve"> the</w:t>
            </w:r>
            <w:r w:rsidRPr="00F96A36">
              <w:t xml:space="preserve"> </w:t>
            </w:r>
            <w:r>
              <w:t>UST</w:t>
            </w:r>
            <w:r w:rsidRPr="00F96A36">
              <w:t xml:space="preserve">, standing trustee </w:t>
            </w:r>
            <w:r w:rsidRPr="009265D3">
              <w:rPr>
                <w:u w:val="single"/>
              </w:rPr>
              <w:t>must</w:t>
            </w:r>
            <w:r w:rsidRPr="00F96A36">
              <w:t xml:space="preserve"> take appropriate action</w:t>
            </w:r>
            <w:r>
              <w:t>. (page 3-16)</w:t>
            </w:r>
          </w:p>
          <w:p w:rsidR="00610043" w:rsidRDefault="00610043" w:rsidP="00275851"/>
          <w:p w:rsidR="00610043" w:rsidRDefault="00610043" w:rsidP="00636FD2">
            <w:r>
              <w:t xml:space="preserve">The standing trustee </w:t>
            </w:r>
            <w:r w:rsidRPr="009677C6">
              <w:rPr>
                <w:u w:val="single"/>
              </w:rPr>
              <w:t>must</w:t>
            </w:r>
            <w:r>
              <w:t xml:space="preserve"> include </w:t>
            </w:r>
            <w:r w:rsidRPr="00932C6C">
              <w:t xml:space="preserve">potential preferential or fraudulent transfer </w:t>
            </w:r>
            <w:r>
              <w:t xml:space="preserve">chapter 7 recovery </w:t>
            </w:r>
            <w:r w:rsidRPr="00932C6C">
              <w:t>as part of the value of the estate.</w:t>
            </w:r>
            <w:r>
              <w:t xml:space="preserve"> (page 3-21)</w:t>
            </w:r>
            <w:r w:rsidRPr="00932C6C">
              <w:t xml:space="preserve">  </w:t>
            </w:r>
          </w:p>
          <w:p w:rsidR="00610043" w:rsidRDefault="00610043" w:rsidP="00275851"/>
          <w:p w:rsidR="00FB6226" w:rsidRDefault="00FB6226" w:rsidP="00275851"/>
          <w:p w:rsidR="00610043" w:rsidRDefault="00610043" w:rsidP="00275851">
            <w:r w:rsidRPr="00E1552A">
              <w:rPr>
                <w:b/>
                <w:u w:val="single"/>
              </w:rPr>
              <w:lastRenderedPageBreak/>
              <w:t>Review, Posting, and Objection - Generally</w:t>
            </w:r>
            <w:r>
              <w:t xml:space="preserve">:  </w:t>
            </w:r>
          </w:p>
          <w:p w:rsidR="00610043" w:rsidRDefault="00610043" w:rsidP="00275851"/>
          <w:p w:rsidR="00610043" w:rsidRPr="00B916CB" w:rsidRDefault="00610043" w:rsidP="00E1552A">
            <w:pPr>
              <w:tabs>
                <w:tab w:val="left" w:pos="-1080"/>
                <w:tab w:val="left" w:pos="-720"/>
                <w:tab w:val="left" w:pos="-450"/>
                <w:tab w:val="left" w:pos="0"/>
                <w:tab w:val="left" w:pos="720"/>
                <w:tab w:val="left" w:pos="1440"/>
                <w:tab w:val="left" w:pos="1800"/>
              </w:tabs>
            </w:pPr>
            <w:r w:rsidRPr="00B916CB">
              <w:t xml:space="preserve">Some of the issues a standing trustee </w:t>
            </w:r>
            <w:r w:rsidRPr="00A93468">
              <w:t>must</w:t>
            </w:r>
            <w:r w:rsidRPr="00B916CB">
              <w:t xml:space="preserve"> consider when reviewing claims are:</w:t>
            </w:r>
          </w:p>
          <w:p w:rsidR="00610043" w:rsidRDefault="00610043" w:rsidP="00E1552A">
            <w:pPr>
              <w:tabs>
                <w:tab w:val="left" w:pos="-1080"/>
                <w:tab w:val="left" w:pos="-720"/>
                <w:tab w:val="left" w:pos="-450"/>
                <w:tab w:val="left" w:pos="0"/>
                <w:tab w:val="left" w:pos="720"/>
                <w:tab w:val="left" w:pos="1440"/>
                <w:tab w:val="left" w:pos="1800"/>
              </w:tabs>
            </w:pPr>
          </w:p>
          <w:p w:rsidR="00610043" w:rsidRDefault="00610043" w:rsidP="00E1552A">
            <w:pPr>
              <w:tabs>
                <w:tab w:val="left" w:pos="-1080"/>
                <w:tab w:val="left" w:pos="-720"/>
                <w:tab w:val="left" w:pos="-450"/>
                <w:tab w:val="left" w:pos="0"/>
                <w:tab w:val="left" w:pos="720"/>
                <w:tab w:val="left" w:pos="1440"/>
                <w:tab w:val="left" w:pos="1800"/>
              </w:tabs>
            </w:pPr>
          </w:p>
          <w:p w:rsidR="00610043" w:rsidRPr="00B916CB" w:rsidRDefault="00610043" w:rsidP="00E1552A">
            <w:pPr>
              <w:tabs>
                <w:tab w:val="left" w:pos="-1080"/>
                <w:tab w:val="left" w:pos="-720"/>
                <w:tab w:val="left" w:pos="-450"/>
                <w:tab w:val="left" w:pos="0"/>
                <w:tab w:val="left" w:pos="720"/>
                <w:tab w:val="left" w:pos="1440"/>
                <w:tab w:val="left" w:pos="1800"/>
              </w:tabs>
            </w:pPr>
            <w:r w:rsidRPr="00B916CB">
              <w:t>a.</w:t>
            </w:r>
            <w:r>
              <w:t xml:space="preserve">  </w:t>
            </w:r>
            <w:r w:rsidRPr="00B916CB">
              <w:t xml:space="preserve">The standing trustee must have a procedure in place to identify duplicate claims and to object </w:t>
            </w:r>
            <w:r w:rsidRPr="00E1552A">
              <w:rPr>
                <w:u w:val="single"/>
              </w:rPr>
              <w:t>or take other appropriate action</w:t>
            </w:r>
            <w:r w:rsidRPr="00B916CB">
              <w:t>.</w:t>
            </w:r>
            <w:r>
              <w:t xml:space="preserve"> (page 3-23)</w:t>
            </w:r>
          </w:p>
          <w:p w:rsidR="00610043" w:rsidRPr="00B916CB" w:rsidRDefault="00610043" w:rsidP="00E1552A">
            <w:pPr>
              <w:tabs>
                <w:tab w:val="left" w:pos="-1080"/>
                <w:tab w:val="left" w:pos="-720"/>
                <w:tab w:val="left" w:pos="-450"/>
                <w:tab w:val="left" w:pos="0"/>
                <w:tab w:val="left" w:pos="720"/>
                <w:tab w:val="left" w:pos="1440"/>
                <w:tab w:val="left" w:pos="1800"/>
              </w:tabs>
            </w:pPr>
          </w:p>
          <w:p w:rsidR="00610043" w:rsidRPr="00B916CB" w:rsidRDefault="00610043" w:rsidP="00E1552A">
            <w:pPr>
              <w:tabs>
                <w:tab w:val="left" w:pos="-1080"/>
                <w:tab w:val="left" w:pos="-720"/>
                <w:tab w:val="left" w:pos="-450"/>
                <w:tab w:val="left" w:pos="0"/>
                <w:tab w:val="left" w:pos="720"/>
                <w:tab w:val="left" w:pos="1440"/>
                <w:tab w:val="left" w:pos="1800"/>
              </w:tabs>
            </w:pPr>
            <w:r w:rsidRPr="00B916CB">
              <w:t>c.</w:t>
            </w:r>
            <w:r>
              <w:t xml:space="preserve">  </w:t>
            </w:r>
            <w:r w:rsidRPr="00B916CB">
              <w:t xml:space="preserve">The standing trustee </w:t>
            </w:r>
            <w:r w:rsidRPr="00ED2AC0">
              <w:rPr>
                <w:u w:val="single"/>
              </w:rPr>
              <w:t>must</w:t>
            </w:r>
            <w:r w:rsidRPr="00B916CB">
              <w:t xml:space="preserve"> review schedules and compare liens and judgments listed in the schedules and plan to claims that are filed, </w:t>
            </w:r>
            <w:r w:rsidRPr="00E1552A">
              <w:rPr>
                <w:u w:val="single"/>
              </w:rPr>
              <w:t xml:space="preserve">and take appropriate action </w:t>
            </w:r>
            <w:r w:rsidRPr="00B916CB">
              <w:t>to reconcile any discrepancies.</w:t>
            </w:r>
            <w:r>
              <w:t xml:space="preserve"> (page 3-23)</w:t>
            </w:r>
          </w:p>
          <w:p w:rsidR="00610043" w:rsidRPr="00B916CB" w:rsidRDefault="00610043" w:rsidP="00E1552A">
            <w:pPr>
              <w:tabs>
                <w:tab w:val="left" w:pos="-1080"/>
                <w:tab w:val="left" w:pos="-720"/>
                <w:tab w:val="left" w:pos="-450"/>
                <w:tab w:val="left" w:pos="0"/>
                <w:tab w:val="left" w:pos="720"/>
                <w:tab w:val="left" w:pos="1440"/>
                <w:tab w:val="left" w:pos="1800"/>
              </w:tabs>
              <w:ind w:left="1800" w:hanging="1080"/>
            </w:pPr>
          </w:p>
          <w:p w:rsidR="00610043" w:rsidRPr="00B916CB" w:rsidRDefault="00610043" w:rsidP="00E1552A">
            <w:pPr>
              <w:tabs>
                <w:tab w:val="left" w:pos="-1080"/>
                <w:tab w:val="left" w:pos="-720"/>
                <w:tab w:val="left" w:pos="-450"/>
                <w:tab w:val="left" w:pos="0"/>
                <w:tab w:val="left" w:pos="720"/>
                <w:tab w:val="left" w:pos="1440"/>
                <w:tab w:val="left" w:pos="1800"/>
              </w:tabs>
            </w:pPr>
            <w:r>
              <w:t xml:space="preserve">d.  </w:t>
            </w:r>
            <w:r w:rsidRPr="00B916CB">
              <w:t xml:space="preserve">The standing trustee </w:t>
            </w:r>
            <w:r w:rsidRPr="000A3C90">
              <w:rPr>
                <w:u w:val="single"/>
              </w:rPr>
              <w:t>must</w:t>
            </w:r>
            <w:r w:rsidRPr="00B916CB">
              <w:t xml:space="preserve"> review the claims filed by creditors who have received pre-confirmation adequate protection payments to verify that the claim amount has been reduced by any amount paid by the debtor before confirmation.</w:t>
            </w:r>
            <w:r>
              <w:t xml:space="preserve"> (page 3-23)</w:t>
            </w:r>
          </w:p>
          <w:p w:rsidR="00610043" w:rsidRPr="00B916CB" w:rsidRDefault="00610043" w:rsidP="00E1552A">
            <w:pPr>
              <w:tabs>
                <w:tab w:val="left" w:pos="-1080"/>
                <w:tab w:val="left" w:pos="-720"/>
                <w:tab w:val="left" w:pos="-450"/>
                <w:tab w:val="left" w:pos="0"/>
                <w:tab w:val="left" w:pos="720"/>
                <w:tab w:val="left" w:pos="1440"/>
                <w:tab w:val="left" w:pos="1800"/>
              </w:tabs>
            </w:pPr>
          </w:p>
          <w:p w:rsidR="00610043" w:rsidRDefault="00610043" w:rsidP="004F41BF">
            <w:pPr>
              <w:tabs>
                <w:tab w:val="left" w:pos="-1080"/>
                <w:tab w:val="left" w:pos="-720"/>
                <w:tab w:val="left" w:pos="-450"/>
                <w:tab w:val="left" w:pos="0"/>
                <w:tab w:val="left" w:pos="720"/>
                <w:tab w:val="left" w:pos="1440"/>
                <w:tab w:val="left" w:pos="1800"/>
              </w:tabs>
            </w:pPr>
            <w:r>
              <w:t xml:space="preserve"> U</w:t>
            </w:r>
            <w:r w:rsidRPr="00A7031C">
              <w:t>nless t</w:t>
            </w:r>
            <w:r>
              <w:t xml:space="preserve">he plan provides otherwise, </w:t>
            </w:r>
            <w:r w:rsidRPr="00A7031C">
              <w:t xml:space="preserve">standing </w:t>
            </w:r>
            <w:r w:rsidRPr="000A3C90">
              <w:rPr>
                <w:u w:val="single"/>
              </w:rPr>
              <w:t>trustee</w:t>
            </w:r>
            <w:r w:rsidRPr="00A7031C">
              <w:t xml:space="preserve"> </w:t>
            </w:r>
            <w:r w:rsidRPr="000A3C90">
              <w:rPr>
                <w:u w:val="single"/>
              </w:rPr>
              <w:t>must object</w:t>
            </w:r>
            <w:r w:rsidRPr="00A7031C">
              <w:t xml:space="preserve"> to a post-petition consumer claim if the holder of the claim knew or should have known that prior approval by the standing trustee was practicable and was not obtained</w:t>
            </w:r>
            <w:r>
              <w:t>. (page 3-27)</w:t>
            </w:r>
          </w:p>
          <w:p w:rsidR="00610043" w:rsidRDefault="00610043" w:rsidP="00275851"/>
          <w:p w:rsidR="00FB6226" w:rsidRDefault="00FB6226" w:rsidP="00275851">
            <w:pPr>
              <w:rPr>
                <w:b/>
                <w:u w:val="single"/>
              </w:rPr>
            </w:pPr>
          </w:p>
          <w:p w:rsidR="00FB6226" w:rsidRDefault="00FB6226" w:rsidP="00275851">
            <w:pPr>
              <w:rPr>
                <w:b/>
                <w:u w:val="single"/>
              </w:rPr>
            </w:pPr>
          </w:p>
          <w:p w:rsidR="00FB6226" w:rsidRDefault="00FB6226" w:rsidP="00275851">
            <w:pPr>
              <w:rPr>
                <w:b/>
                <w:u w:val="single"/>
              </w:rPr>
            </w:pPr>
          </w:p>
          <w:p w:rsidR="00610043" w:rsidRDefault="00610043" w:rsidP="00275851">
            <w:r w:rsidRPr="00E1552A">
              <w:rPr>
                <w:b/>
                <w:u w:val="single"/>
              </w:rPr>
              <w:lastRenderedPageBreak/>
              <w:t>Chapter 13 Debtors Engaged in Business</w:t>
            </w:r>
            <w:r>
              <w:t>:</w:t>
            </w:r>
          </w:p>
          <w:p w:rsidR="00610043" w:rsidRDefault="00610043" w:rsidP="00275851"/>
          <w:p w:rsidR="00610043" w:rsidRDefault="00610043" w:rsidP="00275851">
            <w:r w:rsidRPr="001634A5">
              <w:t xml:space="preserve">The standing trustee </w:t>
            </w:r>
            <w:r w:rsidRPr="000C64D8">
              <w:rPr>
                <w:u w:val="single"/>
              </w:rPr>
              <w:t>must</w:t>
            </w:r>
            <w:r w:rsidRPr="001634A5">
              <w:t xml:space="preserve"> meet with the debtor and debtor’s counsel prior to or at the meeting of creditors to examine and review the debtor’s business documents</w:t>
            </w:r>
            <w:r>
              <w:t xml:space="preserve"> and </w:t>
            </w:r>
            <w:r w:rsidRPr="000A6FFE">
              <w:t>must direct the</w:t>
            </w:r>
            <w:r>
              <w:t xml:space="preserve"> debtor to bring to the meeting certain </w:t>
            </w:r>
            <w:r w:rsidRPr="000A6FFE">
              <w:t>documents</w:t>
            </w:r>
            <w:r>
              <w:t>.(page 3-32.)</w:t>
            </w:r>
          </w:p>
          <w:p w:rsidR="00610043" w:rsidRDefault="00610043" w:rsidP="00275851"/>
          <w:p w:rsidR="00610043" w:rsidRDefault="00610043" w:rsidP="00275851">
            <w:r w:rsidRPr="00AE4DA2">
              <w:t xml:space="preserve">If the investigation uncovers evidence of fraud, the standing trustee </w:t>
            </w:r>
            <w:r w:rsidRPr="000C64D8">
              <w:rPr>
                <w:u w:val="single"/>
              </w:rPr>
              <w:t>must notify the UST</w:t>
            </w:r>
            <w:r w:rsidRPr="00AE4DA2">
              <w:t xml:space="preserve"> and take appropriate action.</w:t>
            </w:r>
            <w:r>
              <w:t xml:space="preserve"> (page 3-33)</w:t>
            </w:r>
          </w:p>
          <w:p w:rsidR="00610043" w:rsidRPr="001634A5" w:rsidRDefault="00610043" w:rsidP="00275851"/>
          <w:p w:rsidR="00610043" w:rsidRDefault="00610043" w:rsidP="00275851">
            <w:r w:rsidRPr="00E1552A">
              <w:rPr>
                <w:b/>
                <w:u w:val="single"/>
              </w:rPr>
              <w:t>Disbursements</w:t>
            </w:r>
            <w:r>
              <w:t>:</w:t>
            </w:r>
          </w:p>
          <w:p w:rsidR="00610043" w:rsidRDefault="00610043" w:rsidP="00275851"/>
          <w:p w:rsidR="00610043" w:rsidRDefault="00610043" w:rsidP="00275851">
            <w:r w:rsidRPr="00E1552A">
              <w:rPr>
                <w:u w:val="single"/>
              </w:rPr>
              <w:t>Monthly</w:t>
            </w:r>
            <w:r>
              <w:t xml:space="preserve"> disbursements to creditors. (page 3-35)</w:t>
            </w:r>
          </w:p>
          <w:p w:rsidR="00610043" w:rsidRDefault="00610043" w:rsidP="00275851"/>
          <w:p w:rsidR="00610043" w:rsidRDefault="00610043" w:rsidP="00275851">
            <w:r w:rsidRPr="00E1552A">
              <w:rPr>
                <w:b/>
                <w:u w:val="single"/>
              </w:rPr>
              <w:t>Avoidance Powers</w:t>
            </w:r>
            <w:r>
              <w:t>:</w:t>
            </w:r>
          </w:p>
          <w:p w:rsidR="00610043" w:rsidRDefault="00610043" w:rsidP="00275851"/>
          <w:p w:rsidR="00610043" w:rsidRDefault="00610043" w:rsidP="00275851">
            <w:r w:rsidRPr="00346C2A">
              <w:t>As an alternative to a formal recovery action, the standing trustee may reach an agreement with the debtor and debtor’s counsel to “cash out” the transfer</w:t>
            </w:r>
            <w:r>
              <w:t>…</w:t>
            </w:r>
            <w:r w:rsidRPr="00346C2A">
              <w:t xml:space="preserve">.  If the standing trustee “cashes out” such a transfer, </w:t>
            </w:r>
            <w:r w:rsidRPr="00E1552A">
              <w:rPr>
                <w:u w:val="single"/>
              </w:rPr>
              <w:t>the standing trustee should determine whether it is appropriate</w:t>
            </w:r>
            <w:r w:rsidRPr="00346C2A">
              <w:t xml:space="preserve"> to obtain a written agreement from the debtor and transferee to toll the statute of limitations relating to any applicable </w:t>
            </w:r>
            <w:r w:rsidRPr="00346C2A">
              <w:rPr>
                <w:lang w:val="en-CA"/>
              </w:rPr>
              <w:fldChar w:fldCharType="begin"/>
            </w:r>
            <w:r w:rsidRPr="00E1552A">
              <w:rPr>
                <w:lang w:val="en-CA"/>
              </w:rPr>
              <w:instrText xml:space="preserve"> SEQ CHAPTER \h \r 1</w:instrText>
            </w:r>
            <w:r w:rsidRPr="00346C2A">
              <w:fldChar w:fldCharType="end"/>
            </w:r>
            <w:r w:rsidRPr="00346C2A">
              <w:t xml:space="preserve">action to recover transfers or avoid liens. </w:t>
            </w:r>
            <w:r>
              <w:t>(page 3-37)</w:t>
            </w:r>
          </w:p>
          <w:p w:rsidR="00610043" w:rsidRDefault="00610043" w:rsidP="00275851"/>
          <w:p w:rsidR="00FB6226" w:rsidRDefault="00FB6226" w:rsidP="00275851">
            <w:pPr>
              <w:rPr>
                <w:b/>
                <w:u w:val="single"/>
              </w:rPr>
            </w:pPr>
          </w:p>
          <w:p w:rsidR="00FB6226" w:rsidRDefault="00FB6226" w:rsidP="00275851">
            <w:pPr>
              <w:rPr>
                <w:b/>
                <w:u w:val="single"/>
              </w:rPr>
            </w:pPr>
          </w:p>
          <w:p w:rsidR="00FB6226" w:rsidRDefault="00FB6226" w:rsidP="00275851">
            <w:pPr>
              <w:rPr>
                <w:b/>
                <w:u w:val="single"/>
              </w:rPr>
            </w:pPr>
          </w:p>
          <w:p w:rsidR="00610043" w:rsidRDefault="00610043" w:rsidP="00275851">
            <w:r w:rsidRPr="00E1552A">
              <w:rPr>
                <w:b/>
                <w:u w:val="single"/>
              </w:rPr>
              <w:lastRenderedPageBreak/>
              <w:t>Discharge of Debtor</w:t>
            </w:r>
            <w:r>
              <w:t>:</w:t>
            </w:r>
          </w:p>
          <w:p w:rsidR="00610043" w:rsidRDefault="00610043" w:rsidP="00275851"/>
          <w:p w:rsidR="00610043" w:rsidRDefault="00610043" w:rsidP="00275851">
            <w:r>
              <w:t>Standing trustee  must promptly certify to the court when debtor has successfully completed the plan.  Certification can be made before or as a part of the final report.  Trustee may rely on debtor certification as to DSO.  Not responsible for certifying to the court that debtor has completed financial management course.  (page 3-38)</w:t>
            </w:r>
          </w:p>
          <w:p w:rsidR="00610043" w:rsidRDefault="00610043" w:rsidP="00275851"/>
          <w:p w:rsidR="00610043" w:rsidRDefault="00610043" w:rsidP="00275851">
            <w:r>
              <w:t xml:space="preserve">Standing trustee </w:t>
            </w:r>
            <w:r w:rsidRPr="0020386E">
              <w:rPr>
                <w:u w:val="single"/>
              </w:rPr>
              <w:t>must</w:t>
            </w:r>
            <w:r w:rsidRPr="009434CF">
              <w:t xml:space="preserve"> object to the debtor’s hardship discharge if the debtor does not qualify under the statutory standards</w:t>
            </w:r>
            <w:r>
              <w:t>. (page 3-39)</w:t>
            </w:r>
          </w:p>
          <w:p w:rsidR="00610043" w:rsidRDefault="00610043" w:rsidP="00275851"/>
          <w:p w:rsidR="00610043" w:rsidRDefault="00610043" w:rsidP="00275851">
            <w:r w:rsidRPr="00E1552A">
              <w:rPr>
                <w:b/>
                <w:u w:val="single"/>
              </w:rPr>
              <w:t>Final Report</w:t>
            </w:r>
            <w:r>
              <w:t>:</w:t>
            </w:r>
          </w:p>
          <w:p w:rsidR="00610043" w:rsidRDefault="00610043" w:rsidP="00275851"/>
          <w:p w:rsidR="00610043" w:rsidRDefault="00610043" w:rsidP="00275851">
            <w:r>
              <w:t>R</w:t>
            </w:r>
            <w:r w:rsidRPr="00745962">
              <w:t xml:space="preserve">eview </w:t>
            </w:r>
            <w:r>
              <w:t xml:space="preserve">of case prior to filing final report </w:t>
            </w:r>
            <w:r w:rsidRPr="00E1552A">
              <w:rPr>
                <w:u w:val="single"/>
              </w:rPr>
              <w:t>must not</w:t>
            </w:r>
            <w:r w:rsidRPr="00745962">
              <w:t xml:space="preserve"> be conducted by the same staff member</w:t>
            </w:r>
            <w:r>
              <w:t xml:space="preserve"> who </w:t>
            </w:r>
            <w:r w:rsidRPr="00745962">
              <w:t>monitored the file during the course of the case</w:t>
            </w:r>
            <w:r>
              <w:t>. (page 3-40)</w:t>
            </w:r>
          </w:p>
          <w:p w:rsidR="00610043" w:rsidRDefault="00610043" w:rsidP="00275851"/>
          <w:p w:rsidR="00610043" w:rsidRDefault="00610043" w:rsidP="00275851">
            <w:r w:rsidRPr="00D16E76">
              <w:t xml:space="preserve">If a closed case has to be re-opened, the </w:t>
            </w:r>
            <w:r>
              <w:t xml:space="preserve">standing </w:t>
            </w:r>
            <w:r w:rsidRPr="00D16E76">
              <w:t xml:space="preserve">trustee should contact the </w:t>
            </w:r>
            <w:r>
              <w:t>UST</w:t>
            </w:r>
            <w:r w:rsidRPr="00D16E76">
              <w:t xml:space="preserve"> to discuss options.</w:t>
            </w:r>
            <w:r>
              <w:t xml:space="preserve"> (page 3-40)</w:t>
            </w:r>
          </w:p>
          <w:p w:rsidR="00610043" w:rsidRPr="00745962" w:rsidRDefault="00610043" w:rsidP="00275851"/>
          <w:p w:rsidR="00610043" w:rsidRDefault="00610043" w:rsidP="00275851">
            <w:r w:rsidRPr="00E1552A">
              <w:rPr>
                <w:b/>
                <w:u w:val="single"/>
              </w:rPr>
              <w:t>Bank Accounts and Deposit, Investment and Disbursement of Funds</w:t>
            </w:r>
            <w:r>
              <w:t>:</w:t>
            </w:r>
          </w:p>
          <w:p w:rsidR="00610043" w:rsidRDefault="00610043" w:rsidP="00275851"/>
          <w:p w:rsidR="00FB6226" w:rsidRDefault="00FB6226" w:rsidP="00275851"/>
          <w:p w:rsidR="00FB6226" w:rsidRDefault="00FB6226" w:rsidP="00275851"/>
          <w:p w:rsidR="00FB6226" w:rsidRDefault="00FB6226" w:rsidP="00275851"/>
          <w:p w:rsidR="00610043" w:rsidRDefault="00610043" w:rsidP="00275851">
            <w:pPr>
              <w:rPr>
                <w:b/>
                <w:u w:val="single"/>
              </w:rPr>
            </w:pPr>
            <w:r w:rsidRPr="008317E7">
              <w:rPr>
                <w:b/>
                <w:u w:val="single"/>
              </w:rPr>
              <w:lastRenderedPageBreak/>
              <w:t>Collateral</w:t>
            </w:r>
          </w:p>
          <w:p w:rsidR="00610043" w:rsidRDefault="00610043" w:rsidP="00275851">
            <w:pPr>
              <w:rPr>
                <w:b/>
                <w:u w:val="single"/>
              </w:rPr>
            </w:pPr>
          </w:p>
          <w:p w:rsidR="00610043" w:rsidRDefault="00610043" w:rsidP="00054C3D">
            <w:r w:rsidRPr="00E1552A">
              <w:rPr>
                <w:rFonts w:cs="Shruti"/>
                <w:bCs/>
                <w:color w:val="000000"/>
              </w:rPr>
              <w:t>The standing trustee must notify the bank and the UST if a debtor’s aggregate interest in the funds on deposit in a single bank exceeds the FDIC insurance limitation so that the bank can provide additional collateralization.</w:t>
            </w:r>
            <w:r w:rsidRPr="00E1552A">
              <w:rPr>
                <w:rFonts w:cs="Shruti"/>
                <w:color w:val="000000"/>
              </w:rPr>
              <w:t xml:space="preserve">  The standing trustee also must notify the bank and the UST if the interest in the funds on deposit attributed to the suspense funds or to the expense account exceed the FDIC insurance limitation. (</w:t>
            </w:r>
            <w:r>
              <w:rPr>
                <w:rFonts w:cs="Shruti"/>
                <w:color w:val="000000"/>
              </w:rPr>
              <w:t>page 4-6</w:t>
            </w:r>
            <w:r w:rsidRPr="00E1552A">
              <w:rPr>
                <w:rFonts w:cs="Shruti"/>
                <w:color w:val="000000"/>
              </w:rPr>
              <w:t>)</w:t>
            </w:r>
          </w:p>
          <w:p w:rsidR="00610043" w:rsidRDefault="00610043" w:rsidP="00275851"/>
          <w:p w:rsidR="00610043" w:rsidRDefault="00610043" w:rsidP="00275851">
            <w:r w:rsidRPr="00E1552A">
              <w:rPr>
                <w:b/>
                <w:u w:val="single"/>
              </w:rPr>
              <w:t>Financial Recordkeeping and Reporting</w:t>
            </w:r>
            <w:r>
              <w:t>:</w:t>
            </w:r>
          </w:p>
          <w:p w:rsidR="00610043" w:rsidRDefault="00610043" w:rsidP="00275851"/>
          <w:p w:rsidR="00610043" w:rsidRDefault="00610043" w:rsidP="00275851">
            <w:r w:rsidRPr="00CE79A7">
              <w:t>Financial records may be kept in either paper or an electronic format.</w:t>
            </w:r>
            <w:r>
              <w:t xml:space="preserve"> (page 4-7.)</w:t>
            </w:r>
          </w:p>
          <w:p w:rsidR="00610043" w:rsidRDefault="00610043" w:rsidP="00275851"/>
          <w:p w:rsidR="00610043" w:rsidRDefault="00610043" w:rsidP="00275851">
            <w:r w:rsidRPr="00F75F2B">
              <w:t>A standing trustee’s accounting records must be automated</w:t>
            </w:r>
            <w:r>
              <w:t>. (page 4-8)</w:t>
            </w:r>
          </w:p>
          <w:p w:rsidR="00610043" w:rsidRDefault="00610043" w:rsidP="00275851"/>
          <w:p w:rsidR="00610043" w:rsidRDefault="00610043" w:rsidP="00275851"/>
          <w:p w:rsidR="00610043" w:rsidRDefault="00610043" w:rsidP="00275851">
            <w:r>
              <w:t xml:space="preserve">Periodic debtor report </w:t>
            </w:r>
            <w:r w:rsidRPr="00E4474F">
              <w:t>may be sent by electronic mail.</w:t>
            </w:r>
            <w:r>
              <w:t xml:space="preserve"> (page 4-9)</w:t>
            </w:r>
          </w:p>
          <w:p w:rsidR="00610043" w:rsidRDefault="00610043" w:rsidP="00275851"/>
          <w:p w:rsidR="00610043" w:rsidRDefault="00610043" w:rsidP="00275851">
            <w:r w:rsidRPr="00E1552A">
              <w:rPr>
                <w:b/>
                <w:u w:val="single"/>
              </w:rPr>
              <w:t>Internal Financial Controls</w:t>
            </w:r>
            <w:r>
              <w:t>:</w:t>
            </w:r>
          </w:p>
          <w:p w:rsidR="00610043" w:rsidRDefault="00610043" w:rsidP="00275851"/>
          <w:p w:rsidR="00610043" w:rsidRDefault="00610043" w:rsidP="00275851">
            <w:r>
              <w:t>S</w:t>
            </w:r>
            <w:r w:rsidRPr="00D1048F">
              <w:t xml:space="preserve">tanding trustee </w:t>
            </w:r>
            <w:r w:rsidRPr="00E1552A">
              <w:rPr>
                <w:u w:val="single"/>
              </w:rPr>
              <w:t>must</w:t>
            </w:r>
            <w:r w:rsidRPr="00D1048F">
              <w:t xml:space="preserve"> open and review expense account bank statements and canceled checks prior to the bank account reconcilement by other staff.</w:t>
            </w:r>
            <w:r>
              <w:t xml:space="preserve"> (</w:t>
            </w:r>
            <w:r w:rsidRPr="00640A0C">
              <w:t>page</w:t>
            </w:r>
            <w:r>
              <w:t xml:space="preserve"> 4-11)</w:t>
            </w:r>
          </w:p>
          <w:p w:rsidR="00610043" w:rsidRDefault="00610043" w:rsidP="00275851"/>
          <w:p w:rsidR="00610043" w:rsidRDefault="00610043" w:rsidP="00275851"/>
          <w:p w:rsidR="00610043" w:rsidRDefault="00610043" w:rsidP="00275851">
            <w:r w:rsidRPr="00251600">
              <w:lastRenderedPageBreak/>
              <w:t>The trustee must, within thirty days of receipt of the bank statement, notify the depository of any instances of error, forgeries, alterations, or unauthorized signatures.</w:t>
            </w:r>
            <w:r>
              <w:t xml:space="preserve"> (</w:t>
            </w:r>
            <w:r w:rsidRPr="00640A0C">
              <w:t>page</w:t>
            </w:r>
            <w:r>
              <w:t xml:space="preserve"> 4-12)</w:t>
            </w:r>
          </w:p>
          <w:p w:rsidR="00610043" w:rsidRDefault="00610043" w:rsidP="00275851"/>
          <w:p w:rsidR="00610043" w:rsidRDefault="00610043" w:rsidP="00275851">
            <w:r w:rsidRPr="00251600">
              <w:t xml:space="preserve">If the standing trustee chooses to write non-computer generated checks, the standing trustee must review each cleared non-computer generated check. </w:t>
            </w:r>
            <w:r>
              <w:t>(page 4-12)</w:t>
            </w:r>
          </w:p>
          <w:p w:rsidR="00610043" w:rsidRDefault="00610043" w:rsidP="00275851"/>
          <w:p w:rsidR="00610043" w:rsidRDefault="00610043" w:rsidP="00275851">
            <w:r w:rsidRPr="00EE3F57">
              <w:t>If there is no pre-printed check number on the front of the check, the checks must contain a control number on the back assigned by the check stock vendor</w:t>
            </w:r>
            <w:r>
              <w:t xml:space="preserve">.  </w:t>
            </w:r>
            <w:r w:rsidRPr="00ED2AC0">
              <w:rPr>
                <w:u w:val="single"/>
              </w:rPr>
              <w:t xml:space="preserve">Log must be maintained. </w:t>
            </w:r>
            <w:r w:rsidRPr="00EE3F57">
              <w:t xml:space="preserve">If the check numbers are pre-printed, the standing trustee must </w:t>
            </w:r>
            <w:r w:rsidRPr="00ED2AC0">
              <w:rPr>
                <w:u w:val="single"/>
              </w:rPr>
              <w:t xml:space="preserve">maintain a log </w:t>
            </w:r>
            <w:r w:rsidRPr="00EE3F57">
              <w:t>of those numbers and account for every check.</w:t>
            </w:r>
            <w:r>
              <w:t xml:space="preserve"> (page 4-13)</w:t>
            </w:r>
          </w:p>
          <w:p w:rsidR="00610043" w:rsidRDefault="00610043" w:rsidP="00275851"/>
          <w:p w:rsidR="00610043" w:rsidRDefault="00610043" w:rsidP="00275851">
            <w:r w:rsidRPr="004B461B">
              <w:t>Returned checks or undeliverable checks written on the trust account which are returned to the standing trustee must, to the extent possible, be voided upon receipt.</w:t>
            </w:r>
            <w:r>
              <w:t xml:space="preserve"> If not, checks must be logged in, the original secured in a locked place, and the research done from a copy. A person independent of process must review the log. Any check not resolved within five working days must be voided. (page 4-13)</w:t>
            </w:r>
          </w:p>
          <w:p w:rsidR="00610043" w:rsidRDefault="00610043" w:rsidP="00275851"/>
          <w:p w:rsidR="00610043" w:rsidRPr="00E1552A" w:rsidRDefault="00610043" w:rsidP="00A0343F">
            <w:pPr>
              <w:rPr>
                <w:bCs/>
              </w:rPr>
            </w:pPr>
            <w:r w:rsidRPr="00E1552A">
              <w:rPr>
                <w:bCs/>
              </w:rPr>
              <w:t xml:space="preserve">Funds must be deposited on a </w:t>
            </w:r>
            <w:r w:rsidRPr="00E1552A">
              <w:rPr>
                <w:bCs/>
                <w:u w:val="single"/>
              </w:rPr>
              <w:t>daily</w:t>
            </w:r>
            <w:r w:rsidRPr="00E1552A">
              <w:rPr>
                <w:bCs/>
              </w:rPr>
              <w:t xml:space="preserve"> basis. (</w:t>
            </w:r>
            <w:r>
              <w:rPr>
                <w:bCs/>
              </w:rPr>
              <w:t>page 4-14</w:t>
            </w:r>
            <w:r w:rsidRPr="00E1552A">
              <w:rPr>
                <w:bCs/>
              </w:rPr>
              <w:t>)</w:t>
            </w:r>
          </w:p>
          <w:p w:rsidR="00610043" w:rsidRPr="00E1552A" w:rsidRDefault="00610043" w:rsidP="00A0343F">
            <w:pPr>
              <w:rPr>
                <w:bCs/>
              </w:rPr>
            </w:pPr>
          </w:p>
          <w:p w:rsidR="00610043" w:rsidRDefault="00610043" w:rsidP="00E1552A">
            <w:pPr>
              <w:tabs>
                <w:tab w:val="left" w:pos="-1080"/>
                <w:tab w:val="left" w:pos="-720"/>
                <w:tab w:val="left" w:pos="-45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E1552A">
              <w:rPr>
                <w:color w:val="000000"/>
              </w:rPr>
              <w:t>Payers must be instructed to make checks and money orders payable to the standing trustee as “Chapter 13 Trustee.” For example, “John Doe, Chapter 13 Trustee.” (</w:t>
            </w:r>
            <w:r>
              <w:rPr>
                <w:color w:val="000000"/>
              </w:rPr>
              <w:t>page 4-14</w:t>
            </w:r>
            <w:r w:rsidRPr="00E1552A">
              <w:rPr>
                <w:color w:val="000000"/>
              </w:rPr>
              <w:t>)</w:t>
            </w:r>
          </w:p>
          <w:p w:rsidR="00610043" w:rsidRDefault="00610043" w:rsidP="00E1552A">
            <w:pPr>
              <w:tabs>
                <w:tab w:val="left" w:pos="-1080"/>
                <w:tab w:val="left" w:pos="-720"/>
                <w:tab w:val="left" w:pos="-45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610043" w:rsidRPr="00E1552A" w:rsidRDefault="00610043" w:rsidP="00E1552A">
            <w:pPr>
              <w:tabs>
                <w:tab w:val="left" w:pos="-1080"/>
                <w:tab w:val="left" w:pos="-720"/>
                <w:tab w:val="left" w:pos="-45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B04BF3">
              <w:rPr>
                <w:color w:val="000000"/>
              </w:rPr>
              <w:lastRenderedPageBreak/>
              <w:t xml:space="preserve">The standing trustee </w:t>
            </w:r>
            <w:r w:rsidRPr="004F41BF">
              <w:rPr>
                <w:color w:val="000000"/>
                <w:u w:val="single"/>
              </w:rPr>
              <w:t>must not</w:t>
            </w:r>
            <w:r w:rsidRPr="00B04BF3">
              <w:rPr>
                <w:color w:val="000000"/>
              </w:rPr>
              <w:t xml:space="preserve"> accept payments in currency unless acceptance is unavoidable.  </w:t>
            </w:r>
            <w:r>
              <w:rPr>
                <w:color w:val="000000"/>
              </w:rPr>
              <w:t>(pages 4-14 to 4-15)</w:t>
            </w:r>
          </w:p>
          <w:p w:rsidR="00610043" w:rsidRPr="00E1552A" w:rsidRDefault="00610043" w:rsidP="00E1552A">
            <w:pPr>
              <w:tabs>
                <w:tab w:val="left" w:pos="-1080"/>
                <w:tab w:val="left" w:pos="-720"/>
                <w:tab w:val="left" w:pos="-45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610043" w:rsidRDefault="00610043" w:rsidP="00A0343F">
            <w:pPr>
              <w:rPr>
                <w:bCs/>
              </w:rPr>
            </w:pPr>
            <w:r>
              <w:rPr>
                <w:bCs/>
              </w:rPr>
              <w:t>Standing trustee may obtain debtor payments electronically. (page 4 –15)</w:t>
            </w:r>
          </w:p>
          <w:p w:rsidR="00610043" w:rsidRDefault="00610043" w:rsidP="00A0343F">
            <w:pPr>
              <w:rPr>
                <w:bCs/>
              </w:rPr>
            </w:pPr>
          </w:p>
          <w:p w:rsidR="00610043" w:rsidRDefault="00610043" w:rsidP="00A0343F">
            <w:r w:rsidRPr="00E1552A">
              <w:rPr>
                <w:bCs/>
              </w:rPr>
              <w:t xml:space="preserve">The standing trustee </w:t>
            </w:r>
            <w:r w:rsidRPr="00E1552A">
              <w:rPr>
                <w:bCs/>
                <w:u w:val="single"/>
              </w:rPr>
              <w:t>is required</w:t>
            </w:r>
            <w:r w:rsidRPr="00E1552A">
              <w:rPr>
                <w:bCs/>
              </w:rPr>
              <w:t xml:space="preserve"> to have positive pay arrangement for all trust accounts on which checks could be written, with the exception of the </w:t>
            </w:r>
            <w:r w:rsidRPr="00A0343F">
              <w:t xml:space="preserve">operating expense account.  </w:t>
            </w:r>
            <w:r>
              <w:t>(page 4-16)</w:t>
            </w:r>
          </w:p>
          <w:p w:rsidR="00610043" w:rsidRDefault="00610043" w:rsidP="00275851"/>
          <w:p w:rsidR="00610043" w:rsidRDefault="00610043" w:rsidP="00797D98">
            <w:r w:rsidRPr="00FA0DCA">
              <w:t>Electronic transfers</w:t>
            </w:r>
            <w:r>
              <w:t xml:space="preserve"> must be initiated by the standing trustee and not by the recipient. Approval of the UST is </w:t>
            </w:r>
            <w:r w:rsidRPr="008317E7">
              <w:rPr>
                <w:u w:val="single"/>
              </w:rPr>
              <w:t>not</w:t>
            </w:r>
            <w:r>
              <w:t xml:space="preserve"> required. Procedures for electronic funds transfers should be discussed with the UST  (</w:t>
            </w:r>
            <w:r w:rsidRPr="000E73FD">
              <w:t>page 4-16</w:t>
            </w:r>
            <w:r>
              <w:t>)</w:t>
            </w:r>
          </w:p>
          <w:p w:rsidR="00610043" w:rsidRDefault="00610043" w:rsidP="00275851"/>
          <w:p w:rsidR="00610043" w:rsidRDefault="00610043" w:rsidP="00275851">
            <w:r w:rsidRPr="00E85E85">
              <w:t xml:space="preserve">Third parties are not authorized to electronically debit the trust account whether from conversion of actual checks or through a direct authorization to debit.  </w:t>
            </w:r>
            <w:r>
              <w:t>(page 4-17)</w:t>
            </w:r>
          </w:p>
          <w:p w:rsidR="00610043" w:rsidRDefault="00610043" w:rsidP="00275851"/>
          <w:p w:rsidR="00610043" w:rsidRDefault="00610043" w:rsidP="00584BEC">
            <w:r w:rsidRPr="00E1552A">
              <w:rPr>
                <w:bCs/>
              </w:rPr>
              <w:t xml:space="preserve">If funds are received in a case where the final report has been issued, funds may either be posted to a suspense account, </w:t>
            </w:r>
            <w:r w:rsidRPr="00E1552A">
              <w:rPr>
                <w:bCs/>
                <w:u w:val="single"/>
              </w:rPr>
              <w:t>posted to the closed case or the case reopened</w:t>
            </w:r>
            <w:r w:rsidRPr="00E1552A">
              <w:rPr>
                <w:bCs/>
              </w:rPr>
              <w:t xml:space="preserve">. If funds are posted to closed cases, the standing trustee must run a report monthly that shows all activity in closed cases for that month and have appropriate procedures in place to timely resolve same. </w:t>
            </w:r>
            <w:r>
              <w:t>(page 4-17)</w:t>
            </w:r>
          </w:p>
          <w:p w:rsidR="00610043" w:rsidRDefault="00610043" w:rsidP="00275851"/>
          <w:p w:rsidR="00E36FC3" w:rsidRDefault="00E36FC3" w:rsidP="00275851"/>
          <w:p w:rsidR="00610043" w:rsidRDefault="00610043" w:rsidP="00A15C9A">
            <w:r>
              <w:lastRenderedPageBreak/>
              <w:t xml:space="preserve">Credit Cards: </w:t>
            </w:r>
            <w:r w:rsidRPr="000B2602">
              <w:t xml:space="preserve">Personal expenses cannot be charged to the trust operation credit card.  </w:t>
            </w:r>
            <w:r>
              <w:t xml:space="preserve">Except for reimbursable travel-related expenses and incidental purchases of goods, </w:t>
            </w:r>
            <w:r w:rsidRPr="000B2602">
              <w:t xml:space="preserve">trust expenses cannot be charged to a credit card used for personal expenses of the standing trustee.  </w:t>
            </w:r>
          </w:p>
          <w:p w:rsidR="00610043" w:rsidRDefault="00610043" w:rsidP="00A15C9A">
            <w:r>
              <w:t>I</w:t>
            </w:r>
            <w:r w:rsidRPr="00A15C9A">
              <w:t>nterest or late fees accrued are not valid authorized expenditures from the expense fund.</w:t>
            </w:r>
            <w:r>
              <w:t xml:space="preserve"> </w:t>
            </w:r>
            <w:r w:rsidRPr="00A15C9A">
              <w:t xml:space="preserve"> </w:t>
            </w:r>
            <w:r>
              <w:t>(page 4-19)</w:t>
            </w:r>
          </w:p>
          <w:p w:rsidR="00610043" w:rsidRDefault="00610043" w:rsidP="00275851"/>
          <w:p w:rsidR="00E36FC3" w:rsidRDefault="00E36FC3" w:rsidP="00275851"/>
          <w:p w:rsidR="00610043" w:rsidRDefault="00610043" w:rsidP="00275851">
            <w:r w:rsidRPr="00E1552A">
              <w:rPr>
                <w:b/>
                <w:u w:val="single"/>
              </w:rPr>
              <w:t>Computer Systems</w:t>
            </w:r>
            <w:r>
              <w:t>:</w:t>
            </w:r>
          </w:p>
          <w:p w:rsidR="00610043" w:rsidRDefault="00610043" w:rsidP="00275851"/>
          <w:p w:rsidR="00610043" w:rsidRDefault="00610043" w:rsidP="00275851">
            <w:r w:rsidRPr="00A06A44">
              <w:t xml:space="preserve">Standing trustees must select software providers who maintain a reasonable amount of fidelity coverage on employees.  </w:t>
            </w:r>
            <w:r>
              <w:t>(.page 4-20)</w:t>
            </w:r>
          </w:p>
          <w:p w:rsidR="00610043" w:rsidRDefault="00610043" w:rsidP="00275851"/>
          <w:p w:rsidR="00610043" w:rsidRDefault="00610043" w:rsidP="00275851">
            <w:r>
              <w:t xml:space="preserve">Requirement to change passwords at least every 90 days </w:t>
            </w:r>
            <w:r w:rsidRPr="00572221">
              <w:t>applies to system passwords, case administration passwords and other passwords needed for specialized functions</w:t>
            </w:r>
            <w:r>
              <w:t>. (page 4-21)</w:t>
            </w:r>
          </w:p>
          <w:p w:rsidR="00610043" w:rsidRDefault="00610043" w:rsidP="00275851"/>
          <w:p w:rsidR="00610043" w:rsidRDefault="00610043" w:rsidP="00275851">
            <w:r w:rsidRPr="002F6D8A">
              <w:t>The standing trustee must ensure that any consultants or vendors with access to live data have had criminal background checks</w:t>
            </w:r>
            <w:r>
              <w:t>. (page 4-21)</w:t>
            </w:r>
          </w:p>
          <w:p w:rsidR="00610043" w:rsidRDefault="00610043" w:rsidP="00275851"/>
          <w:p w:rsidR="00610043" w:rsidRDefault="00610043" w:rsidP="00275851">
            <w:r>
              <w:t xml:space="preserve">Standing trustee must personally review all user profiles at least annually. </w:t>
            </w:r>
            <w:r w:rsidRPr="007173F2">
              <w:t>User profiles must be periodically tested, at a minimum when case administration software is either upgraded or replaced.</w:t>
            </w:r>
            <w:r>
              <w:t xml:space="preserve"> (page 4-22)</w:t>
            </w:r>
          </w:p>
          <w:p w:rsidR="00610043" w:rsidRDefault="00610043" w:rsidP="00275851"/>
          <w:p w:rsidR="00610043" w:rsidRDefault="00610043" w:rsidP="00275851">
            <w:pPr>
              <w:rPr>
                <w:b/>
                <w:u w:val="single"/>
              </w:rPr>
            </w:pPr>
            <w:r w:rsidRPr="00054C3D">
              <w:rPr>
                <w:b/>
                <w:u w:val="single"/>
              </w:rPr>
              <w:lastRenderedPageBreak/>
              <w:t>Civil Enforcement and Prevention of Abuse:</w:t>
            </w:r>
          </w:p>
          <w:p w:rsidR="00610043" w:rsidRPr="00054C3D" w:rsidRDefault="00610043" w:rsidP="00275851">
            <w:pPr>
              <w:rPr>
                <w:b/>
                <w:u w:val="single"/>
              </w:rPr>
            </w:pPr>
          </w:p>
          <w:p w:rsidR="00610043" w:rsidRDefault="00610043" w:rsidP="00275851">
            <w:r w:rsidRPr="00C86B59">
              <w:t>A standing trustee with</w:t>
            </w:r>
            <w:r>
              <w:t xml:space="preserve"> </w:t>
            </w:r>
            <w:r w:rsidRPr="00C86B59">
              <w:t>knowledge of civil fraud or abuse</w:t>
            </w:r>
            <w:r>
              <w:t xml:space="preserve"> should</w:t>
            </w:r>
            <w:r w:rsidRPr="00C86B59">
              <w:t xml:space="preserve"> report those matters to the United States Trustee.</w:t>
            </w:r>
            <w:r>
              <w:t xml:space="preserve"> (page 5-6)</w:t>
            </w:r>
          </w:p>
          <w:p w:rsidR="00610043" w:rsidRDefault="00610043" w:rsidP="00275851"/>
          <w:p w:rsidR="00610043" w:rsidRDefault="00610043" w:rsidP="00275851">
            <w:r w:rsidRPr="00E1552A">
              <w:rPr>
                <w:b/>
                <w:u w:val="single"/>
              </w:rPr>
              <w:t>Prohibition of Solicitation of Gratuities, Gifts or Other Remuneration or Thing of Value</w:t>
            </w:r>
            <w:r>
              <w:t>:</w:t>
            </w:r>
          </w:p>
          <w:p w:rsidR="00610043" w:rsidRDefault="00610043" w:rsidP="00275851"/>
          <w:p w:rsidR="00610043" w:rsidRDefault="00610043" w:rsidP="00B36253">
            <w:r w:rsidRPr="00B36253">
              <w:t xml:space="preserve">Neither the standing trustee nor any employee of the standing trustee may purchase assets of the trustee operation </w:t>
            </w:r>
            <w:r w:rsidRPr="00E1552A">
              <w:rPr>
                <w:u w:val="single"/>
              </w:rPr>
              <w:t>without written approval of the UST</w:t>
            </w:r>
            <w:r w:rsidRPr="00B36253">
              <w:t>.</w:t>
            </w:r>
            <w:r>
              <w:t xml:space="preserve">  (page 5-6)</w:t>
            </w:r>
          </w:p>
          <w:p w:rsidR="00610043" w:rsidRDefault="00610043" w:rsidP="00B36253"/>
          <w:p w:rsidR="00610043" w:rsidRDefault="00610043" w:rsidP="00275851">
            <w:r w:rsidRPr="00FB4317">
              <w:t xml:space="preserve">Neither the standing trustee </w:t>
            </w:r>
            <w:r w:rsidRPr="00E1552A">
              <w:rPr>
                <w:u w:val="single"/>
              </w:rPr>
              <w:t>nor any employee</w:t>
            </w:r>
            <w:r w:rsidRPr="00FB4317">
              <w:t xml:space="preserve"> of the standing trustee may provide services or products targeted to chapter 13 debtors </w:t>
            </w:r>
            <w:r w:rsidRPr="00E1552A">
              <w:rPr>
                <w:u w:val="single"/>
              </w:rPr>
              <w:t>or creditors</w:t>
            </w:r>
            <w:r w:rsidRPr="00FB4317">
              <w:t>, except those services provided as a U</w:t>
            </w:r>
            <w:r>
              <w:t xml:space="preserve">ST </w:t>
            </w:r>
            <w:r w:rsidRPr="00FB4317">
              <w:t xml:space="preserve">approved provider of a personal financial management instructional course. </w:t>
            </w:r>
            <w:r>
              <w:t>(page 5-6)</w:t>
            </w:r>
            <w:r w:rsidRPr="00FB4317">
              <w:t xml:space="preserve">  </w:t>
            </w:r>
          </w:p>
          <w:p w:rsidR="00610043" w:rsidRDefault="00610043" w:rsidP="00275851"/>
          <w:p w:rsidR="00610043" w:rsidRDefault="00610043" w:rsidP="005A5BED">
            <w:r w:rsidRPr="00E1552A">
              <w:rPr>
                <w:b/>
                <w:u w:val="single"/>
              </w:rPr>
              <w:t>Transmission of Documents</w:t>
            </w:r>
            <w:r>
              <w:t>:</w:t>
            </w:r>
          </w:p>
          <w:p w:rsidR="00610043" w:rsidRPr="005A5BED" w:rsidRDefault="00610043" w:rsidP="005A5BED"/>
          <w:p w:rsidR="00610043" w:rsidRPr="005D2A8F" w:rsidRDefault="00610043" w:rsidP="005D2A8F">
            <w:r w:rsidRPr="005D2A8F">
              <w:t>Unless otherwise allowed under local rules, original claims and claims dockets must be filed with and maintained by the clerk of court and not the standing trustee.</w:t>
            </w:r>
            <w:r>
              <w:t xml:space="preserve"> (page 5-11)</w:t>
            </w:r>
          </w:p>
          <w:p w:rsidR="00610043" w:rsidRDefault="00610043" w:rsidP="00275851"/>
          <w:p w:rsidR="008538B1" w:rsidRDefault="008538B1" w:rsidP="00275851">
            <w:pPr>
              <w:rPr>
                <w:b/>
                <w:u w:val="single"/>
              </w:rPr>
            </w:pPr>
          </w:p>
          <w:p w:rsidR="008538B1" w:rsidRDefault="008538B1" w:rsidP="00275851">
            <w:pPr>
              <w:rPr>
                <w:b/>
                <w:u w:val="single"/>
              </w:rPr>
            </w:pPr>
          </w:p>
          <w:p w:rsidR="008538B1" w:rsidRDefault="008538B1" w:rsidP="00275851">
            <w:pPr>
              <w:rPr>
                <w:b/>
                <w:u w:val="single"/>
              </w:rPr>
            </w:pPr>
          </w:p>
          <w:p w:rsidR="008538B1" w:rsidRDefault="008538B1" w:rsidP="00275851">
            <w:pPr>
              <w:rPr>
                <w:b/>
                <w:u w:val="single"/>
              </w:rPr>
            </w:pPr>
          </w:p>
          <w:p w:rsidR="00610043" w:rsidRDefault="00610043" w:rsidP="00275851">
            <w:r w:rsidRPr="00E1552A">
              <w:rPr>
                <w:b/>
                <w:u w:val="single"/>
              </w:rPr>
              <w:lastRenderedPageBreak/>
              <w:t>Surety and Fidelity Bonds and Insurance</w:t>
            </w:r>
            <w:r>
              <w:t>:</w:t>
            </w:r>
          </w:p>
          <w:p w:rsidR="00610043" w:rsidRDefault="00610043" w:rsidP="00275851"/>
          <w:p w:rsidR="00610043" w:rsidRDefault="00610043" w:rsidP="00275851">
            <w:r w:rsidRPr="00C1280D">
              <w:t xml:space="preserve">The standing trustee must notify the </w:t>
            </w:r>
            <w:r>
              <w:t>UST</w:t>
            </w:r>
            <w:r w:rsidRPr="00C1280D">
              <w:t xml:space="preserve"> immediately if the standing trustee learns that the surety bond or employee fidelity bond is or will be canceled. </w:t>
            </w:r>
          </w:p>
          <w:p w:rsidR="00610043" w:rsidRDefault="00610043" w:rsidP="00275851"/>
          <w:p w:rsidR="00610043" w:rsidRDefault="00610043" w:rsidP="00275851">
            <w:r w:rsidRPr="008D0476">
              <w:t>The standing trustee also must notify the</w:t>
            </w:r>
            <w:r>
              <w:t xml:space="preserve"> UST </w:t>
            </w:r>
            <w:r w:rsidRPr="008D0476">
              <w:t>immediately if the standing trustee learns of any claim made against the surety b</w:t>
            </w:r>
            <w:r>
              <w:t>ond or employee fidelity bond. …</w:t>
            </w:r>
            <w:r w:rsidRPr="002C6EF7">
              <w:t>As soon as the standing trustee becomes aware of an incident which may give rise to a bond or insurance claim, the standing trustee must notify the U</w:t>
            </w:r>
            <w:r>
              <w:t>ST</w:t>
            </w:r>
            <w:r w:rsidRPr="002C6EF7">
              <w:t xml:space="preserve"> and the bonding or insurance company.  </w:t>
            </w:r>
            <w:r>
              <w:t>(page 5-14)</w:t>
            </w:r>
          </w:p>
          <w:p w:rsidR="00610043" w:rsidRDefault="00610043" w:rsidP="00275851"/>
          <w:p w:rsidR="00610043" w:rsidRDefault="00610043" w:rsidP="00A908DE">
            <w:r w:rsidRPr="00A908DE">
              <w:t xml:space="preserve">If a standing trustee is sued in his or her capacity as trustee, the standing trustee must notify the </w:t>
            </w:r>
            <w:r>
              <w:t>UST</w:t>
            </w:r>
            <w:r w:rsidRPr="00A908DE">
              <w:t>.</w:t>
            </w:r>
            <w:r w:rsidRPr="00C1280D">
              <w:t xml:space="preserve"> </w:t>
            </w:r>
            <w:r>
              <w:t>(page 5-14)</w:t>
            </w:r>
          </w:p>
          <w:p w:rsidR="00610043" w:rsidRDefault="00610043" w:rsidP="00A908DE"/>
          <w:p w:rsidR="00610043" w:rsidRDefault="00610043" w:rsidP="00A908DE">
            <w:r w:rsidRPr="00E1552A">
              <w:rPr>
                <w:b/>
                <w:u w:val="single"/>
              </w:rPr>
              <w:t>Settlements</w:t>
            </w:r>
            <w:r>
              <w:t>:</w:t>
            </w:r>
          </w:p>
          <w:p w:rsidR="00610043" w:rsidRDefault="00610043" w:rsidP="00A908DE"/>
          <w:p w:rsidR="00610043" w:rsidRDefault="00610043" w:rsidP="006D3630">
            <w:r w:rsidRPr="00E1552A">
              <w:rPr>
                <w:bCs/>
              </w:rPr>
              <w:t xml:space="preserve">The standing trustee must have the approval of the </w:t>
            </w:r>
            <w:r>
              <w:rPr>
                <w:bCs/>
              </w:rPr>
              <w:t>UST</w:t>
            </w:r>
            <w:r w:rsidRPr="00E1552A">
              <w:rPr>
                <w:bCs/>
              </w:rPr>
              <w:t xml:space="preserve"> for any settlement decisions that will affect the expense account. </w:t>
            </w:r>
            <w:r>
              <w:t>(page 5-14)</w:t>
            </w:r>
          </w:p>
          <w:p w:rsidR="00610043" w:rsidRDefault="00610043" w:rsidP="006D3630"/>
          <w:p w:rsidR="00610043" w:rsidRDefault="00610043" w:rsidP="006D3630">
            <w:r w:rsidRPr="00E1552A">
              <w:rPr>
                <w:b/>
                <w:u w:val="single"/>
              </w:rPr>
              <w:t>Retention of Records</w:t>
            </w:r>
            <w:r>
              <w:t>:</w:t>
            </w:r>
          </w:p>
          <w:p w:rsidR="00610043" w:rsidRDefault="00610043" w:rsidP="006D3630"/>
          <w:p w:rsidR="00610043" w:rsidRPr="00E1552A" w:rsidRDefault="00610043" w:rsidP="006D3630">
            <w:pPr>
              <w:rPr>
                <w:bCs/>
              </w:rPr>
            </w:pPr>
            <w:r>
              <w:t>Allows for retention in electronic format. Addresses debtor tax returns. (pages 5-15 to 5-16)</w:t>
            </w:r>
          </w:p>
          <w:p w:rsidR="00610043" w:rsidRDefault="00610043" w:rsidP="00A908DE"/>
          <w:p w:rsidR="008538B1" w:rsidRDefault="008538B1" w:rsidP="00A908DE"/>
          <w:p w:rsidR="00610043" w:rsidRDefault="00610043" w:rsidP="00275851">
            <w:r w:rsidRPr="00E1552A">
              <w:rPr>
                <w:b/>
                <w:u w:val="single"/>
              </w:rPr>
              <w:lastRenderedPageBreak/>
              <w:t>Annual and Amended Budgets</w:t>
            </w:r>
            <w:r>
              <w:t>:</w:t>
            </w:r>
          </w:p>
          <w:p w:rsidR="00610043" w:rsidRDefault="00610043" w:rsidP="00275851"/>
          <w:p w:rsidR="00610043" w:rsidRDefault="00610043" w:rsidP="00275851">
            <w:r>
              <w:t>Budget must be amended when:</w:t>
            </w:r>
          </w:p>
          <w:p w:rsidR="00610043" w:rsidRDefault="00610043" w:rsidP="00275851">
            <w:r>
              <w:t xml:space="preserve">b. </w:t>
            </w:r>
            <w:r w:rsidRPr="00AA5D5E">
              <w:t>increase in individual employee salaries, number of positions, hours worked or benefits provided (type or level)</w:t>
            </w:r>
          </w:p>
          <w:p w:rsidR="00610043" w:rsidRDefault="00610043" w:rsidP="00275851">
            <w:r>
              <w:t xml:space="preserve">d. </w:t>
            </w:r>
            <w:r w:rsidRPr="00AA5D5E">
              <w:t>increase in office square footage</w:t>
            </w:r>
            <w:r>
              <w:t>… (pages 6-1 and 6-2)</w:t>
            </w:r>
          </w:p>
          <w:p w:rsidR="00610043" w:rsidRDefault="00610043" w:rsidP="00275851"/>
          <w:p w:rsidR="008538B1" w:rsidRDefault="008538B1" w:rsidP="00275851"/>
          <w:p w:rsidR="00610043" w:rsidRDefault="00610043" w:rsidP="00275851">
            <w:r w:rsidRPr="000733A7">
              <w:t>The standing trustee</w:t>
            </w:r>
            <w:r>
              <w:t xml:space="preserve"> should </w:t>
            </w:r>
            <w:r w:rsidRPr="000733A7">
              <w:t>place advertisements when filling new positions or vacancies, conduct interviews and otherwise ensure an open hiring process. </w:t>
            </w:r>
            <w:r>
              <w:t xml:space="preserve"> (page 6-3.)</w:t>
            </w:r>
          </w:p>
          <w:p w:rsidR="00610043" w:rsidRDefault="00610043" w:rsidP="00275851"/>
          <w:p w:rsidR="00610043" w:rsidRDefault="00610043" w:rsidP="00275851">
            <w:r w:rsidRPr="00DC66E6">
              <w:t xml:space="preserve">The overall employee benefits package </w:t>
            </w:r>
            <w:r w:rsidRPr="00054C3D">
              <w:rPr>
                <w:u w:val="single"/>
              </w:rPr>
              <w:t>including leave</w:t>
            </w:r>
            <w:r w:rsidRPr="00DC66E6">
              <w:t xml:space="preserve"> must be no greater than that provided by similarly sized service businesses in the community in which the standing trustee’s operation is located.  </w:t>
            </w:r>
            <w:r>
              <w:t>(page 6-3)</w:t>
            </w:r>
          </w:p>
          <w:p w:rsidR="00610043" w:rsidRDefault="00610043" w:rsidP="00275851"/>
          <w:p w:rsidR="00610043" w:rsidRDefault="00610043" w:rsidP="000733A7">
            <w:r w:rsidRPr="000733A7">
              <w:t>Employees whose salaries are in excess of the maximum salary range are not eligible for a cost of living or merit increase.  Employees whose salaries are less that the minimum salary range must be raised to the minimum prior to receiving their merit increase.</w:t>
            </w:r>
            <w:r>
              <w:t xml:space="preserve"> (page 6-3)</w:t>
            </w:r>
          </w:p>
          <w:p w:rsidR="00610043" w:rsidRPr="000733A7" w:rsidRDefault="00610043" w:rsidP="000733A7"/>
          <w:p w:rsidR="00610043" w:rsidRDefault="00610043" w:rsidP="00275851">
            <w:r>
              <w:t xml:space="preserve">Standing trustee </w:t>
            </w:r>
            <w:r w:rsidRPr="00E1552A">
              <w:rPr>
                <w:u w:val="single"/>
              </w:rPr>
              <w:t>must</w:t>
            </w:r>
            <w:r>
              <w:t xml:space="preserve"> retain an outside compensation consultant approximately every five years. (page 6-4)</w:t>
            </w:r>
            <w:r w:rsidRPr="00FB4317">
              <w:t xml:space="preserve">  </w:t>
            </w:r>
          </w:p>
          <w:p w:rsidR="00610043" w:rsidRDefault="00610043" w:rsidP="00275851"/>
          <w:p w:rsidR="00610043" w:rsidRDefault="00610043" w:rsidP="00275851">
            <w:r>
              <w:t xml:space="preserve">Office leases whose terms extend beyond </w:t>
            </w:r>
            <w:r w:rsidRPr="00401CA0">
              <w:rPr>
                <w:u w:val="single"/>
              </w:rPr>
              <w:t>seven</w:t>
            </w:r>
            <w:r>
              <w:t xml:space="preserve"> years are discouraged.</w:t>
            </w:r>
            <w:r w:rsidR="008538B1">
              <w:t xml:space="preserve"> </w:t>
            </w:r>
            <w:r w:rsidRPr="00401CA0">
              <w:t xml:space="preserve">(page 6-4)  </w:t>
            </w:r>
          </w:p>
          <w:p w:rsidR="00610043" w:rsidRDefault="00610043" w:rsidP="00275851"/>
          <w:p w:rsidR="00610043" w:rsidRDefault="00610043" w:rsidP="00275851">
            <w:r w:rsidRPr="004D05B8">
              <w:t xml:space="preserve">Reimbursement for meals is authorized if the official travel causes the standing trustee or an employee to be away from the office for more than </w:t>
            </w:r>
            <w:r w:rsidRPr="00E1552A">
              <w:rPr>
                <w:u w:val="single"/>
              </w:rPr>
              <w:t>twelve</w:t>
            </w:r>
            <w:r w:rsidRPr="004D05B8">
              <w:t xml:space="preserve"> consecutive hours </w:t>
            </w:r>
            <w:r w:rsidRPr="00E1552A">
              <w:rPr>
                <w:u w:val="single"/>
              </w:rPr>
              <w:t>and the travel is more than 50 miles</w:t>
            </w:r>
            <w:r w:rsidRPr="004D05B8">
              <w:t xml:space="preserve"> from the residence or official duty station.</w:t>
            </w:r>
            <w:r>
              <w:t xml:space="preserve"> (page 6-9)</w:t>
            </w:r>
          </w:p>
          <w:p w:rsidR="00610043" w:rsidRDefault="00610043" w:rsidP="00275851"/>
          <w:p w:rsidR="00610043" w:rsidRDefault="00610043" w:rsidP="00AA7641">
            <w:r w:rsidRPr="00E1552A">
              <w:rPr>
                <w:b/>
                <w:u w:val="single"/>
              </w:rPr>
              <w:t>Monthly Reports</w:t>
            </w:r>
            <w:r>
              <w:t>:</w:t>
            </w:r>
          </w:p>
          <w:p w:rsidR="00610043" w:rsidRDefault="00610043" w:rsidP="00275851"/>
          <w:p w:rsidR="00610043" w:rsidRPr="00AA7641" w:rsidRDefault="00610043" w:rsidP="00AA7641">
            <w:r w:rsidRPr="00AA7641">
              <w:t xml:space="preserve">The monthly report, bank statements and </w:t>
            </w:r>
            <w:r w:rsidRPr="00E1552A">
              <w:rPr>
                <w:u w:val="single"/>
              </w:rPr>
              <w:t>four-column bank reconciliations</w:t>
            </w:r>
            <w:r w:rsidRPr="00AA7641">
              <w:t xml:space="preserve"> must be sent to the </w:t>
            </w:r>
            <w:r>
              <w:t>UST</w:t>
            </w:r>
            <w:r w:rsidRPr="00AA7641">
              <w:t xml:space="preserve"> within 30 days after the end of each month.</w:t>
            </w:r>
            <w:r>
              <w:t xml:space="preserve"> (page 7-1)</w:t>
            </w:r>
          </w:p>
          <w:p w:rsidR="00610043" w:rsidRDefault="00610043" w:rsidP="00275851"/>
          <w:p w:rsidR="00610043" w:rsidRDefault="00610043" w:rsidP="00275851">
            <w:r w:rsidRPr="00E1552A">
              <w:rPr>
                <w:b/>
                <w:u w:val="single"/>
              </w:rPr>
              <w:t>Independent Audits</w:t>
            </w:r>
            <w:r>
              <w:t>:</w:t>
            </w:r>
          </w:p>
          <w:p w:rsidR="00610043" w:rsidRDefault="00610043" w:rsidP="00275851"/>
          <w:p w:rsidR="00610043" w:rsidRDefault="00610043" w:rsidP="009204C8">
            <w:r>
              <w:t xml:space="preserve">UST </w:t>
            </w:r>
            <w:r w:rsidRPr="009204C8">
              <w:t>may approve the use of expense funds by the standing trustee to defend an action brought by an auditor when the U</w:t>
            </w:r>
            <w:r>
              <w:t>ST</w:t>
            </w:r>
            <w:r w:rsidRPr="009204C8">
              <w:t xml:space="preserve"> has decided to terminate an audit services agreement. </w:t>
            </w:r>
            <w:r>
              <w:t xml:space="preserve"> (page 7-2)</w:t>
            </w:r>
            <w:r w:rsidRPr="00013E1E">
              <w:t xml:space="preserve"> </w:t>
            </w:r>
            <w:r>
              <w:t xml:space="preserve"> </w:t>
            </w:r>
            <w:r w:rsidRPr="00013E1E">
              <w:t xml:space="preserve"> </w:t>
            </w:r>
          </w:p>
          <w:p w:rsidR="00610043" w:rsidRDefault="00610043" w:rsidP="009204C8"/>
          <w:p w:rsidR="00610043" w:rsidRPr="001D77AE" w:rsidRDefault="00610043" w:rsidP="00140B3A"/>
        </w:tc>
      </w:tr>
    </w:tbl>
    <w:p w:rsidR="00477B3B" w:rsidRPr="002B18AA" w:rsidRDefault="00477B3B" w:rsidP="008317E7"/>
    <w:sectPr w:rsidR="00477B3B" w:rsidRPr="002B18AA" w:rsidSect="00E6239D">
      <w:headerReference w:type="default" r:id="rId8"/>
      <w:footerReference w:type="even" r:id="rId9"/>
      <w:footerReference w:type="default" r:id="rId10"/>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226" w:rsidRDefault="00FB6226">
      <w:r>
        <w:separator/>
      </w:r>
    </w:p>
  </w:endnote>
  <w:endnote w:type="continuationSeparator" w:id="0">
    <w:p w:rsidR="00FB6226" w:rsidRDefault="00FB6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226" w:rsidRDefault="00FB6226" w:rsidP="00AF6E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6226" w:rsidRDefault="00FB62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8B1" w:rsidRDefault="008538B1">
    <w:pPr>
      <w:pStyle w:val="Footer"/>
      <w:jc w:val="center"/>
    </w:pPr>
    <w:r>
      <w:fldChar w:fldCharType="begin"/>
    </w:r>
    <w:r>
      <w:instrText xml:space="preserve"> PAGE   \* MERGEFORMAT </w:instrText>
    </w:r>
    <w:r>
      <w:fldChar w:fldCharType="separate"/>
    </w:r>
    <w:r w:rsidR="00E42B8F">
      <w:rPr>
        <w:noProof/>
      </w:rPr>
      <w:t>12</w:t>
    </w:r>
    <w:r>
      <w:rPr>
        <w:noProof/>
      </w:rPr>
      <w:fldChar w:fldCharType="end"/>
    </w:r>
  </w:p>
  <w:p w:rsidR="008538B1" w:rsidRDefault="008538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226" w:rsidRDefault="00FB6226">
      <w:r>
        <w:separator/>
      </w:r>
    </w:p>
  </w:footnote>
  <w:footnote w:type="continuationSeparator" w:id="0">
    <w:p w:rsidR="00FB6226" w:rsidRDefault="00FB6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226" w:rsidRPr="00887AA1" w:rsidRDefault="00E42B8F" w:rsidP="00887AA1">
    <w:pPr>
      <w:jc w:val="right"/>
      <w:rPr>
        <w:sz w:val="20"/>
        <w:szCs w:val="20"/>
      </w:rPr>
    </w:pPr>
    <w:r>
      <w:rPr>
        <w:sz w:val="20"/>
        <w:szCs w:val="20"/>
      </w:rPr>
      <w:t xml:space="preserve">06/27/12 </w:t>
    </w:r>
  </w:p>
  <w:p w:rsidR="00FB6226" w:rsidRPr="000C2F12" w:rsidRDefault="00FB6226" w:rsidP="00C14EE6">
    <w:pPr>
      <w:jc w:val="center"/>
      <w:rPr>
        <w:b/>
      </w:rPr>
    </w:pPr>
    <w:r w:rsidRPr="000C2F12">
      <w:rPr>
        <w:b/>
      </w:rPr>
      <w:t xml:space="preserve">Summary of </w:t>
    </w:r>
    <w:r w:rsidR="001E47A2">
      <w:rPr>
        <w:b/>
      </w:rPr>
      <w:t>Changes</w:t>
    </w:r>
  </w:p>
  <w:p w:rsidR="00FB6226" w:rsidRDefault="00FB6226" w:rsidP="00C14EE6">
    <w:pPr>
      <w:jc w:val="center"/>
      <w:rPr>
        <w:b/>
      </w:rPr>
    </w:pPr>
    <w:r w:rsidRPr="000C2F12">
      <w:rPr>
        <w:b/>
      </w:rPr>
      <w:t>Handbook for Chapter 13 Standing Trustees</w:t>
    </w:r>
  </w:p>
  <w:p w:rsidR="00FB6226" w:rsidRDefault="00FB62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8"/>
      <w:gridCol w:w="6480"/>
    </w:tblGrid>
    <w:tr w:rsidR="00FB6226" w:rsidRPr="00E1552A" w:rsidTr="00FB6226">
      <w:tc>
        <w:tcPr>
          <w:tcW w:w="6678" w:type="dxa"/>
          <w:shd w:val="clear" w:color="auto" w:fill="auto"/>
        </w:tcPr>
        <w:p w:rsidR="00FB6226" w:rsidRPr="00E1552A" w:rsidRDefault="00FB6226" w:rsidP="00C20F6A">
          <w:pPr>
            <w:rPr>
              <w:b/>
              <w:u w:val="double"/>
            </w:rPr>
          </w:pPr>
          <w:r w:rsidRPr="00E1552A">
            <w:rPr>
              <w:b/>
              <w:u w:val="double"/>
            </w:rPr>
            <w:t>1998 Handbook</w:t>
          </w:r>
        </w:p>
        <w:p w:rsidR="00FB6226" w:rsidRPr="00E1552A" w:rsidRDefault="00FB6226" w:rsidP="00437CC5">
          <w:pPr>
            <w:rPr>
              <w:b/>
              <w:u w:val="double"/>
            </w:rPr>
          </w:pPr>
        </w:p>
      </w:tc>
      <w:tc>
        <w:tcPr>
          <w:tcW w:w="6480" w:type="dxa"/>
          <w:shd w:val="clear" w:color="auto" w:fill="auto"/>
        </w:tcPr>
        <w:p w:rsidR="00FB6226" w:rsidRPr="00E1552A" w:rsidRDefault="00FB6226" w:rsidP="00C20F6A">
          <w:pPr>
            <w:rPr>
              <w:b/>
              <w:u w:val="double"/>
            </w:rPr>
          </w:pPr>
          <w:r w:rsidRPr="00E1552A">
            <w:rPr>
              <w:b/>
              <w:u w:val="double"/>
            </w:rPr>
            <w:t>20</w:t>
          </w:r>
          <w:r>
            <w:rPr>
              <w:b/>
              <w:u w:val="double"/>
            </w:rPr>
            <w:t>12</w:t>
          </w:r>
          <w:r w:rsidRPr="00E1552A">
            <w:rPr>
              <w:b/>
              <w:u w:val="double"/>
            </w:rPr>
            <w:t xml:space="preserve"> Handbook</w:t>
          </w:r>
        </w:p>
        <w:p w:rsidR="00FB6226" w:rsidRPr="00E1552A" w:rsidRDefault="00FB6226" w:rsidP="00437CC5">
          <w:pPr>
            <w:rPr>
              <w:b/>
              <w:u w:val="double"/>
            </w:rPr>
          </w:pPr>
        </w:p>
      </w:tc>
    </w:tr>
  </w:tbl>
  <w:p w:rsidR="00FB6226" w:rsidRPr="00C14EE6" w:rsidRDefault="00FB6226" w:rsidP="00C14EE6">
    <w:pPr>
      <w:pStyle w:val="Heade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gnword-docGUID" w:val="{60342258-50DF-4B8E-A1C4-31518164B991}"/>
    <w:docVar w:name="dgnword-eventsink" w:val="169867224"/>
  </w:docVars>
  <w:rsids>
    <w:rsidRoot w:val="00237F02"/>
    <w:rsid w:val="000018B8"/>
    <w:rsid w:val="00002327"/>
    <w:rsid w:val="00004AD0"/>
    <w:rsid w:val="000100F1"/>
    <w:rsid w:val="00013010"/>
    <w:rsid w:val="00013E1E"/>
    <w:rsid w:val="00015F03"/>
    <w:rsid w:val="0002014E"/>
    <w:rsid w:val="00020593"/>
    <w:rsid w:val="000208D9"/>
    <w:rsid w:val="000221A4"/>
    <w:rsid w:val="0002395D"/>
    <w:rsid w:val="00026BBE"/>
    <w:rsid w:val="00032C96"/>
    <w:rsid w:val="00037307"/>
    <w:rsid w:val="000525DD"/>
    <w:rsid w:val="0005375D"/>
    <w:rsid w:val="00054C3D"/>
    <w:rsid w:val="00060CBB"/>
    <w:rsid w:val="00061444"/>
    <w:rsid w:val="000667FC"/>
    <w:rsid w:val="000668C8"/>
    <w:rsid w:val="0006770D"/>
    <w:rsid w:val="000733A7"/>
    <w:rsid w:val="00075CD5"/>
    <w:rsid w:val="00077C05"/>
    <w:rsid w:val="000855F9"/>
    <w:rsid w:val="000A3919"/>
    <w:rsid w:val="000A3C90"/>
    <w:rsid w:val="000A56D5"/>
    <w:rsid w:val="000A59F7"/>
    <w:rsid w:val="000A5D0E"/>
    <w:rsid w:val="000A6FFE"/>
    <w:rsid w:val="000B2602"/>
    <w:rsid w:val="000B4700"/>
    <w:rsid w:val="000B58D0"/>
    <w:rsid w:val="000C27D3"/>
    <w:rsid w:val="000C2F12"/>
    <w:rsid w:val="000C64D8"/>
    <w:rsid w:val="000D6918"/>
    <w:rsid w:val="000D7CE1"/>
    <w:rsid w:val="000E17A3"/>
    <w:rsid w:val="000E73FD"/>
    <w:rsid w:val="000F0493"/>
    <w:rsid w:val="000F690D"/>
    <w:rsid w:val="001042EA"/>
    <w:rsid w:val="00105E58"/>
    <w:rsid w:val="00107924"/>
    <w:rsid w:val="00114B48"/>
    <w:rsid w:val="00116EFC"/>
    <w:rsid w:val="00122360"/>
    <w:rsid w:val="00122789"/>
    <w:rsid w:val="00135D6E"/>
    <w:rsid w:val="00140B3A"/>
    <w:rsid w:val="00141CE8"/>
    <w:rsid w:val="001524FE"/>
    <w:rsid w:val="00152AD8"/>
    <w:rsid w:val="0015431B"/>
    <w:rsid w:val="00154A0A"/>
    <w:rsid w:val="00160986"/>
    <w:rsid w:val="001616CE"/>
    <w:rsid w:val="001634A5"/>
    <w:rsid w:val="00171BA1"/>
    <w:rsid w:val="00173F61"/>
    <w:rsid w:val="00177F70"/>
    <w:rsid w:val="00181F63"/>
    <w:rsid w:val="00182893"/>
    <w:rsid w:val="00192F22"/>
    <w:rsid w:val="001938C3"/>
    <w:rsid w:val="001A4891"/>
    <w:rsid w:val="001B5895"/>
    <w:rsid w:val="001B71E0"/>
    <w:rsid w:val="001C3006"/>
    <w:rsid w:val="001C3D65"/>
    <w:rsid w:val="001D27AC"/>
    <w:rsid w:val="001D456A"/>
    <w:rsid w:val="001D77AE"/>
    <w:rsid w:val="001E28BE"/>
    <w:rsid w:val="001E47A2"/>
    <w:rsid w:val="001E49C2"/>
    <w:rsid w:val="001E5B60"/>
    <w:rsid w:val="001F2B52"/>
    <w:rsid w:val="001F3205"/>
    <w:rsid w:val="001F6007"/>
    <w:rsid w:val="00202CEA"/>
    <w:rsid w:val="0020386E"/>
    <w:rsid w:val="00204680"/>
    <w:rsid w:val="002069F0"/>
    <w:rsid w:val="0020733B"/>
    <w:rsid w:val="002122B9"/>
    <w:rsid w:val="0021503E"/>
    <w:rsid w:val="00221460"/>
    <w:rsid w:val="00226472"/>
    <w:rsid w:val="00232459"/>
    <w:rsid w:val="002328F4"/>
    <w:rsid w:val="002359F8"/>
    <w:rsid w:val="00237F02"/>
    <w:rsid w:val="0024078F"/>
    <w:rsid w:val="00241D4C"/>
    <w:rsid w:val="00246D3A"/>
    <w:rsid w:val="00247A0F"/>
    <w:rsid w:val="002514F5"/>
    <w:rsid w:val="00251600"/>
    <w:rsid w:val="00262F69"/>
    <w:rsid w:val="002714C2"/>
    <w:rsid w:val="00274A8B"/>
    <w:rsid w:val="00275851"/>
    <w:rsid w:val="00275D80"/>
    <w:rsid w:val="00277B27"/>
    <w:rsid w:val="00280B25"/>
    <w:rsid w:val="0028579C"/>
    <w:rsid w:val="002A0E13"/>
    <w:rsid w:val="002B18AA"/>
    <w:rsid w:val="002B1BE7"/>
    <w:rsid w:val="002C0126"/>
    <w:rsid w:val="002C292D"/>
    <w:rsid w:val="002C6EF7"/>
    <w:rsid w:val="002D4EC5"/>
    <w:rsid w:val="002F29DD"/>
    <w:rsid w:val="002F476B"/>
    <w:rsid w:val="002F6BCF"/>
    <w:rsid w:val="002F6D8A"/>
    <w:rsid w:val="0030405F"/>
    <w:rsid w:val="00305203"/>
    <w:rsid w:val="00310656"/>
    <w:rsid w:val="0031370F"/>
    <w:rsid w:val="00315021"/>
    <w:rsid w:val="00315815"/>
    <w:rsid w:val="00345281"/>
    <w:rsid w:val="003455D0"/>
    <w:rsid w:val="00346C2A"/>
    <w:rsid w:val="00352CF3"/>
    <w:rsid w:val="003548EE"/>
    <w:rsid w:val="00356337"/>
    <w:rsid w:val="00356CF3"/>
    <w:rsid w:val="00357B64"/>
    <w:rsid w:val="0037151D"/>
    <w:rsid w:val="00371F29"/>
    <w:rsid w:val="00373B51"/>
    <w:rsid w:val="003753F7"/>
    <w:rsid w:val="00375DE3"/>
    <w:rsid w:val="003829AB"/>
    <w:rsid w:val="0038539C"/>
    <w:rsid w:val="00390EF2"/>
    <w:rsid w:val="00392875"/>
    <w:rsid w:val="003943F1"/>
    <w:rsid w:val="003C46E6"/>
    <w:rsid w:val="003C56D4"/>
    <w:rsid w:val="003D78A8"/>
    <w:rsid w:val="003E108C"/>
    <w:rsid w:val="003E39F8"/>
    <w:rsid w:val="003E73AF"/>
    <w:rsid w:val="003F1F1A"/>
    <w:rsid w:val="003F2B2D"/>
    <w:rsid w:val="003F33C8"/>
    <w:rsid w:val="003F4DEF"/>
    <w:rsid w:val="003F5FCC"/>
    <w:rsid w:val="00401CA0"/>
    <w:rsid w:val="004130AA"/>
    <w:rsid w:val="00417785"/>
    <w:rsid w:val="004236E2"/>
    <w:rsid w:val="00424E45"/>
    <w:rsid w:val="00431DDA"/>
    <w:rsid w:val="00437CC5"/>
    <w:rsid w:val="0044155A"/>
    <w:rsid w:val="00441C0F"/>
    <w:rsid w:val="00442B79"/>
    <w:rsid w:val="00442F3D"/>
    <w:rsid w:val="00461155"/>
    <w:rsid w:val="004667E3"/>
    <w:rsid w:val="00471570"/>
    <w:rsid w:val="004718F5"/>
    <w:rsid w:val="004718F9"/>
    <w:rsid w:val="00477B3B"/>
    <w:rsid w:val="00486662"/>
    <w:rsid w:val="004869B1"/>
    <w:rsid w:val="00486CF3"/>
    <w:rsid w:val="004B461B"/>
    <w:rsid w:val="004B5155"/>
    <w:rsid w:val="004B61D1"/>
    <w:rsid w:val="004C53B9"/>
    <w:rsid w:val="004C6D1A"/>
    <w:rsid w:val="004D05B8"/>
    <w:rsid w:val="004D1ABB"/>
    <w:rsid w:val="004D3C75"/>
    <w:rsid w:val="004D4829"/>
    <w:rsid w:val="004E141A"/>
    <w:rsid w:val="004E388A"/>
    <w:rsid w:val="004E3C24"/>
    <w:rsid w:val="004E4D20"/>
    <w:rsid w:val="004E53B5"/>
    <w:rsid w:val="004E7436"/>
    <w:rsid w:val="004F25D5"/>
    <w:rsid w:val="004F3FF2"/>
    <w:rsid w:val="004F41BF"/>
    <w:rsid w:val="00500163"/>
    <w:rsid w:val="00503E46"/>
    <w:rsid w:val="00510CFA"/>
    <w:rsid w:val="00513EA4"/>
    <w:rsid w:val="00513FA2"/>
    <w:rsid w:val="005145A8"/>
    <w:rsid w:val="005152AC"/>
    <w:rsid w:val="00527E94"/>
    <w:rsid w:val="00527F11"/>
    <w:rsid w:val="0053052B"/>
    <w:rsid w:val="005305DF"/>
    <w:rsid w:val="005306F6"/>
    <w:rsid w:val="00537AE4"/>
    <w:rsid w:val="00546E7C"/>
    <w:rsid w:val="00547A5D"/>
    <w:rsid w:val="005506E1"/>
    <w:rsid w:val="00553494"/>
    <w:rsid w:val="00555AE4"/>
    <w:rsid w:val="00556A16"/>
    <w:rsid w:val="00562087"/>
    <w:rsid w:val="0056475B"/>
    <w:rsid w:val="005672DB"/>
    <w:rsid w:val="00572221"/>
    <w:rsid w:val="00577F90"/>
    <w:rsid w:val="00584BEC"/>
    <w:rsid w:val="00595787"/>
    <w:rsid w:val="005A1B4B"/>
    <w:rsid w:val="005A5BED"/>
    <w:rsid w:val="005A7F7C"/>
    <w:rsid w:val="005B020D"/>
    <w:rsid w:val="005C6700"/>
    <w:rsid w:val="005D1229"/>
    <w:rsid w:val="005D2A8F"/>
    <w:rsid w:val="005E3CA1"/>
    <w:rsid w:val="005E40EC"/>
    <w:rsid w:val="005F4672"/>
    <w:rsid w:val="005F50CC"/>
    <w:rsid w:val="005F7DB3"/>
    <w:rsid w:val="006027E6"/>
    <w:rsid w:val="00603296"/>
    <w:rsid w:val="00610043"/>
    <w:rsid w:val="00612C48"/>
    <w:rsid w:val="00616173"/>
    <w:rsid w:val="0063020E"/>
    <w:rsid w:val="0063327B"/>
    <w:rsid w:val="00636FD2"/>
    <w:rsid w:val="00640A0C"/>
    <w:rsid w:val="006418C1"/>
    <w:rsid w:val="006472F6"/>
    <w:rsid w:val="00651E96"/>
    <w:rsid w:val="006535CF"/>
    <w:rsid w:val="00671F6D"/>
    <w:rsid w:val="00683E03"/>
    <w:rsid w:val="006A5E6E"/>
    <w:rsid w:val="006A6CD2"/>
    <w:rsid w:val="006A6F8B"/>
    <w:rsid w:val="006B2078"/>
    <w:rsid w:val="006B3B9C"/>
    <w:rsid w:val="006B5B90"/>
    <w:rsid w:val="006C17AB"/>
    <w:rsid w:val="006C31DC"/>
    <w:rsid w:val="006D3630"/>
    <w:rsid w:val="006E1D9E"/>
    <w:rsid w:val="006F105C"/>
    <w:rsid w:val="006F343D"/>
    <w:rsid w:val="006F3907"/>
    <w:rsid w:val="006F51B8"/>
    <w:rsid w:val="0070071E"/>
    <w:rsid w:val="00700B24"/>
    <w:rsid w:val="007011E8"/>
    <w:rsid w:val="00704D55"/>
    <w:rsid w:val="007173F2"/>
    <w:rsid w:val="00723F59"/>
    <w:rsid w:val="00745962"/>
    <w:rsid w:val="00746510"/>
    <w:rsid w:val="00754B16"/>
    <w:rsid w:val="007601EB"/>
    <w:rsid w:val="00773F81"/>
    <w:rsid w:val="00782DDC"/>
    <w:rsid w:val="00784FFE"/>
    <w:rsid w:val="007854CB"/>
    <w:rsid w:val="00785633"/>
    <w:rsid w:val="007875B8"/>
    <w:rsid w:val="00790666"/>
    <w:rsid w:val="007933EB"/>
    <w:rsid w:val="00797D98"/>
    <w:rsid w:val="007A58FD"/>
    <w:rsid w:val="007C53BA"/>
    <w:rsid w:val="007D5412"/>
    <w:rsid w:val="007E2A49"/>
    <w:rsid w:val="007F39BD"/>
    <w:rsid w:val="007F43FB"/>
    <w:rsid w:val="007F484A"/>
    <w:rsid w:val="007F6FDF"/>
    <w:rsid w:val="00807F3D"/>
    <w:rsid w:val="00812537"/>
    <w:rsid w:val="00812989"/>
    <w:rsid w:val="008142ED"/>
    <w:rsid w:val="00826A5F"/>
    <w:rsid w:val="008317E7"/>
    <w:rsid w:val="00850E97"/>
    <w:rsid w:val="00851E46"/>
    <w:rsid w:val="008538B1"/>
    <w:rsid w:val="00853B63"/>
    <w:rsid w:val="008606E0"/>
    <w:rsid w:val="00862E9D"/>
    <w:rsid w:val="00864A4D"/>
    <w:rsid w:val="00866773"/>
    <w:rsid w:val="00871538"/>
    <w:rsid w:val="008770F4"/>
    <w:rsid w:val="008825C5"/>
    <w:rsid w:val="00882E5A"/>
    <w:rsid w:val="00883804"/>
    <w:rsid w:val="00887AA1"/>
    <w:rsid w:val="0089258D"/>
    <w:rsid w:val="00892EA7"/>
    <w:rsid w:val="00896FC8"/>
    <w:rsid w:val="008973C6"/>
    <w:rsid w:val="008A5F73"/>
    <w:rsid w:val="008A6C2E"/>
    <w:rsid w:val="008B12AF"/>
    <w:rsid w:val="008C2932"/>
    <w:rsid w:val="008C5623"/>
    <w:rsid w:val="008D0476"/>
    <w:rsid w:val="008D2811"/>
    <w:rsid w:val="008D6CDD"/>
    <w:rsid w:val="008E55AF"/>
    <w:rsid w:val="008E7FBE"/>
    <w:rsid w:val="009038C0"/>
    <w:rsid w:val="009068B5"/>
    <w:rsid w:val="00906C9D"/>
    <w:rsid w:val="00913499"/>
    <w:rsid w:val="00913664"/>
    <w:rsid w:val="00913FBF"/>
    <w:rsid w:val="0091642D"/>
    <w:rsid w:val="009204C8"/>
    <w:rsid w:val="0092241A"/>
    <w:rsid w:val="009265D3"/>
    <w:rsid w:val="0093018B"/>
    <w:rsid w:val="00932C6C"/>
    <w:rsid w:val="00936A36"/>
    <w:rsid w:val="009434CF"/>
    <w:rsid w:val="0094597D"/>
    <w:rsid w:val="00955E06"/>
    <w:rsid w:val="00956FC8"/>
    <w:rsid w:val="00957A75"/>
    <w:rsid w:val="00963D35"/>
    <w:rsid w:val="00964A12"/>
    <w:rsid w:val="009677C6"/>
    <w:rsid w:val="00971DA5"/>
    <w:rsid w:val="009737AB"/>
    <w:rsid w:val="009818A3"/>
    <w:rsid w:val="009865BD"/>
    <w:rsid w:val="0098709C"/>
    <w:rsid w:val="009922BB"/>
    <w:rsid w:val="009936EF"/>
    <w:rsid w:val="00995354"/>
    <w:rsid w:val="009A53EF"/>
    <w:rsid w:val="009B0CA0"/>
    <w:rsid w:val="009B3BA0"/>
    <w:rsid w:val="009C2023"/>
    <w:rsid w:val="009C6E01"/>
    <w:rsid w:val="009D0CFD"/>
    <w:rsid w:val="009D1D59"/>
    <w:rsid w:val="009D63E2"/>
    <w:rsid w:val="009E05A5"/>
    <w:rsid w:val="009E56B6"/>
    <w:rsid w:val="009E7221"/>
    <w:rsid w:val="009E7F10"/>
    <w:rsid w:val="00A00F90"/>
    <w:rsid w:val="00A0343F"/>
    <w:rsid w:val="00A06A44"/>
    <w:rsid w:val="00A07FC6"/>
    <w:rsid w:val="00A15C9A"/>
    <w:rsid w:val="00A21FD8"/>
    <w:rsid w:val="00A22C9C"/>
    <w:rsid w:val="00A24EE2"/>
    <w:rsid w:val="00A25546"/>
    <w:rsid w:val="00A26264"/>
    <w:rsid w:val="00A27FB9"/>
    <w:rsid w:val="00A40509"/>
    <w:rsid w:val="00A41F1D"/>
    <w:rsid w:val="00A442FC"/>
    <w:rsid w:val="00A500A4"/>
    <w:rsid w:val="00A50C6A"/>
    <w:rsid w:val="00A5240C"/>
    <w:rsid w:val="00A56499"/>
    <w:rsid w:val="00A63982"/>
    <w:rsid w:val="00A7031C"/>
    <w:rsid w:val="00A706DD"/>
    <w:rsid w:val="00A75218"/>
    <w:rsid w:val="00A76A2B"/>
    <w:rsid w:val="00A77C45"/>
    <w:rsid w:val="00A838C0"/>
    <w:rsid w:val="00A87946"/>
    <w:rsid w:val="00A908DE"/>
    <w:rsid w:val="00A91627"/>
    <w:rsid w:val="00A92600"/>
    <w:rsid w:val="00A93468"/>
    <w:rsid w:val="00AA4746"/>
    <w:rsid w:val="00AA5D5E"/>
    <w:rsid w:val="00AA694E"/>
    <w:rsid w:val="00AA7641"/>
    <w:rsid w:val="00AA78ED"/>
    <w:rsid w:val="00AB0675"/>
    <w:rsid w:val="00AC5E73"/>
    <w:rsid w:val="00AC66CB"/>
    <w:rsid w:val="00AC6C77"/>
    <w:rsid w:val="00AC792A"/>
    <w:rsid w:val="00AD4962"/>
    <w:rsid w:val="00AD4DE6"/>
    <w:rsid w:val="00AE0925"/>
    <w:rsid w:val="00AE4DA2"/>
    <w:rsid w:val="00AF44EE"/>
    <w:rsid w:val="00AF4D8B"/>
    <w:rsid w:val="00AF5C62"/>
    <w:rsid w:val="00AF6086"/>
    <w:rsid w:val="00AF6EE4"/>
    <w:rsid w:val="00B04BF3"/>
    <w:rsid w:val="00B04CC5"/>
    <w:rsid w:val="00B21608"/>
    <w:rsid w:val="00B26DA3"/>
    <w:rsid w:val="00B27C4F"/>
    <w:rsid w:val="00B36253"/>
    <w:rsid w:val="00B50B8E"/>
    <w:rsid w:val="00B55474"/>
    <w:rsid w:val="00B55B0A"/>
    <w:rsid w:val="00B65433"/>
    <w:rsid w:val="00B67D46"/>
    <w:rsid w:val="00B74FA4"/>
    <w:rsid w:val="00B7793A"/>
    <w:rsid w:val="00B843AE"/>
    <w:rsid w:val="00B916CB"/>
    <w:rsid w:val="00B91FAF"/>
    <w:rsid w:val="00B96899"/>
    <w:rsid w:val="00BA088E"/>
    <w:rsid w:val="00BA09A4"/>
    <w:rsid w:val="00BA101E"/>
    <w:rsid w:val="00BA1BB6"/>
    <w:rsid w:val="00BA7D3D"/>
    <w:rsid w:val="00BB1B9D"/>
    <w:rsid w:val="00BB4B0C"/>
    <w:rsid w:val="00BB75FE"/>
    <w:rsid w:val="00BC57F4"/>
    <w:rsid w:val="00BD2E7C"/>
    <w:rsid w:val="00BD409C"/>
    <w:rsid w:val="00BD4CF0"/>
    <w:rsid w:val="00BE68B4"/>
    <w:rsid w:val="00BE7A85"/>
    <w:rsid w:val="00BF1529"/>
    <w:rsid w:val="00BF472F"/>
    <w:rsid w:val="00BF4AEB"/>
    <w:rsid w:val="00BF6176"/>
    <w:rsid w:val="00C000B7"/>
    <w:rsid w:val="00C0751A"/>
    <w:rsid w:val="00C1280D"/>
    <w:rsid w:val="00C13764"/>
    <w:rsid w:val="00C14EE6"/>
    <w:rsid w:val="00C20F6A"/>
    <w:rsid w:val="00C23B27"/>
    <w:rsid w:val="00C268BD"/>
    <w:rsid w:val="00C275F6"/>
    <w:rsid w:val="00C34C19"/>
    <w:rsid w:val="00C41A23"/>
    <w:rsid w:val="00C42911"/>
    <w:rsid w:val="00C60D77"/>
    <w:rsid w:val="00C6218F"/>
    <w:rsid w:val="00C71BA5"/>
    <w:rsid w:val="00C73953"/>
    <w:rsid w:val="00C76562"/>
    <w:rsid w:val="00C76D17"/>
    <w:rsid w:val="00C7788A"/>
    <w:rsid w:val="00C82276"/>
    <w:rsid w:val="00C82F88"/>
    <w:rsid w:val="00C830CE"/>
    <w:rsid w:val="00C83843"/>
    <w:rsid w:val="00C86B59"/>
    <w:rsid w:val="00C87CAC"/>
    <w:rsid w:val="00C93836"/>
    <w:rsid w:val="00CA22E7"/>
    <w:rsid w:val="00CB509B"/>
    <w:rsid w:val="00CB5DB7"/>
    <w:rsid w:val="00CB700A"/>
    <w:rsid w:val="00CC3571"/>
    <w:rsid w:val="00CC7C1D"/>
    <w:rsid w:val="00CD1AFD"/>
    <w:rsid w:val="00CD2F44"/>
    <w:rsid w:val="00CE0918"/>
    <w:rsid w:val="00CE67C2"/>
    <w:rsid w:val="00CE6EB5"/>
    <w:rsid w:val="00CE79A7"/>
    <w:rsid w:val="00CF349C"/>
    <w:rsid w:val="00D01D03"/>
    <w:rsid w:val="00D03A8D"/>
    <w:rsid w:val="00D03C3B"/>
    <w:rsid w:val="00D1048F"/>
    <w:rsid w:val="00D137BD"/>
    <w:rsid w:val="00D16E76"/>
    <w:rsid w:val="00D24BE3"/>
    <w:rsid w:val="00D31C55"/>
    <w:rsid w:val="00D31E0D"/>
    <w:rsid w:val="00D35437"/>
    <w:rsid w:val="00D45F4A"/>
    <w:rsid w:val="00D5216B"/>
    <w:rsid w:val="00D55435"/>
    <w:rsid w:val="00D64433"/>
    <w:rsid w:val="00D74798"/>
    <w:rsid w:val="00D83C4F"/>
    <w:rsid w:val="00DA0656"/>
    <w:rsid w:val="00DA31F8"/>
    <w:rsid w:val="00DA35C4"/>
    <w:rsid w:val="00DA3F5E"/>
    <w:rsid w:val="00DA7861"/>
    <w:rsid w:val="00DB2F66"/>
    <w:rsid w:val="00DC380F"/>
    <w:rsid w:val="00DC66E6"/>
    <w:rsid w:val="00DC67B8"/>
    <w:rsid w:val="00DD28EC"/>
    <w:rsid w:val="00DD393B"/>
    <w:rsid w:val="00DD4188"/>
    <w:rsid w:val="00DD6181"/>
    <w:rsid w:val="00DD71D9"/>
    <w:rsid w:val="00DE2DA5"/>
    <w:rsid w:val="00E0036B"/>
    <w:rsid w:val="00E05CFD"/>
    <w:rsid w:val="00E148C4"/>
    <w:rsid w:val="00E1552A"/>
    <w:rsid w:val="00E24161"/>
    <w:rsid w:val="00E328B8"/>
    <w:rsid w:val="00E3324C"/>
    <w:rsid w:val="00E36FC3"/>
    <w:rsid w:val="00E42B8F"/>
    <w:rsid w:val="00E4474F"/>
    <w:rsid w:val="00E4636C"/>
    <w:rsid w:val="00E47148"/>
    <w:rsid w:val="00E50AD0"/>
    <w:rsid w:val="00E6239D"/>
    <w:rsid w:val="00E66125"/>
    <w:rsid w:val="00E72930"/>
    <w:rsid w:val="00E75990"/>
    <w:rsid w:val="00E76FEE"/>
    <w:rsid w:val="00E84D16"/>
    <w:rsid w:val="00E8578A"/>
    <w:rsid w:val="00E85E85"/>
    <w:rsid w:val="00E86A26"/>
    <w:rsid w:val="00E875CA"/>
    <w:rsid w:val="00E902FB"/>
    <w:rsid w:val="00E91312"/>
    <w:rsid w:val="00EB236B"/>
    <w:rsid w:val="00EB3B3F"/>
    <w:rsid w:val="00EC3920"/>
    <w:rsid w:val="00ED081E"/>
    <w:rsid w:val="00ED2AC0"/>
    <w:rsid w:val="00ED3CA3"/>
    <w:rsid w:val="00ED6871"/>
    <w:rsid w:val="00EE3160"/>
    <w:rsid w:val="00EE3F57"/>
    <w:rsid w:val="00EE55D4"/>
    <w:rsid w:val="00EE58A4"/>
    <w:rsid w:val="00EF2E8A"/>
    <w:rsid w:val="00EF5066"/>
    <w:rsid w:val="00EF7648"/>
    <w:rsid w:val="00F01732"/>
    <w:rsid w:val="00F11C02"/>
    <w:rsid w:val="00F1334B"/>
    <w:rsid w:val="00F137F6"/>
    <w:rsid w:val="00F17D85"/>
    <w:rsid w:val="00F36C63"/>
    <w:rsid w:val="00F45E4B"/>
    <w:rsid w:val="00F46360"/>
    <w:rsid w:val="00F518F1"/>
    <w:rsid w:val="00F550FE"/>
    <w:rsid w:val="00F75F2B"/>
    <w:rsid w:val="00F83B99"/>
    <w:rsid w:val="00F96A36"/>
    <w:rsid w:val="00F97911"/>
    <w:rsid w:val="00FA0DCA"/>
    <w:rsid w:val="00FA2657"/>
    <w:rsid w:val="00FA6A17"/>
    <w:rsid w:val="00FB4317"/>
    <w:rsid w:val="00FB6226"/>
    <w:rsid w:val="00FD0C7A"/>
    <w:rsid w:val="00FD2762"/>
    <w:rsid w:val="00FD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7F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B0CA0"/>
    <w:pPr>
      <w:tabs>
        <w:tab w:val="center" w:pos="4320"/>
        <w:tab w:val="right" w:pos="8640"/>
      </w:tabs>
    </w:pPr>
  </w:style>
  <w:style w:type="character" w:styleId="PageNumber">
    <w:name w:val="page number"/>
    <w:basedOn w:val="DefaultParagraphFont"/>
    <w:rsid w:val="009B0CA0"/>
  </w:style>
  <w:style w:type="character" w:styleId="FootnoteReference">
    <w:name w:val="footnote reference"/>
    <w:semiHidden/>
    <w:rsid w:val="00CE0918"/>
  </w:style>
  <w:style w:type="paragraph" w:styleId="FootnoteText">
    <w:name w:val="footnote text"/>
    <w:basedOn w:val="Normal"/>
    <w:semiHidden/>
    <w:rsid w:val="00CE0918"/>
    <w:pPr>
      <w:widowControl w:val="0"/>
      <w:autoSpaceDE w:val="0"/>
      <w:autoSpaceDN w:val="0"/>
      <w:adjustRightInd w:val="0"/>
    </w:pPr>
    <w:rPr>
      <w:sz w:val="20"/>
      <w:szCs w:val="20"/>
    </w:rPr>
  </w:style>
  <w:style w:type="paragraph" w:styleId="Header">
    <w:name w:val="header"/>
    <w:basedOn w:val="Normal"/>
    <w:rsid w:val="00C14EE6"/>
    <w:pPr>
      <w:tabs>
        <w:tab w:val="center" w:pos="4320"/>
        <w:tab w:val="right" w:pos="8640"/>
      </w:tabs>
    </w:pPr>
  </w:style>
  <w:style w:type="paragraph" w:styleId="BalloonText">
    <w:name w:val="Balloon Text"/>
    <w:basedOn w:val="Normal"/>
    <w:semiHidden/>
    <w:rsid w:val="00392875"/>
    <w:rPr>
      <w:rFonts w:ascii="Tahoma" w:hAnsi="Tahoma" w:cs="Tahoma"/>
      <w:sz w:val="16"/>
      <w:szCs w:val="16"/>
    </w:rPr>
  </w:style>
  <w:style w:type="character" w:styleId="CommentReference">
    <w:name w:val="annotation reference"/>
    <w:rsid w:val="00651E96"/>
    <w:rPr>
      <w:sz w:val="16"/>
      <w:szCs w:val="16"/>
    </w:rPr>
  </w:style>
  <w:style w:type="paragraph" w:styleId="CommentText">
    <w:name w:val="annotation text"/>
    <w:basedOn w:val="Normal"/>
    <w:link w:val="CommentTextChar"/>
    <w:rsid w:val="00651E96"/>
    <w:rPr>
      <w:sz w:val="20"/>
      <w:szCs w:val="20"/>
    </w:rPr>
  </w:style>
  <w:style w:type="character" w:customStyle="1" w:styleId="CommentTextChar">
    <w:name w:val="Comment Text Char"/>
    <w:basedOn w:val="DefaultParagraphFont"/>
    <w:link w:val="CommentText"/>
    <w:rsid w:val="00651E96"/>
  </w:style>
  <w:style w:type="paragraph" w:styleId="CommentSubject">
    <w:name w:val="annotation subject"/>
    <w:basedOn w:val="CommentText"/>
    <w:next w:val="CommentText"/>
    <w:link w:val="CommentSubjectChar"/>
    <w:rsid w:val="00651E96"/>
    <w:rPr>
      <w:b/>
      <w:bCs/>
    </w:rPr>
  </w:style>
  <w:style w:type="character" w:customStyle="1" w:styleId="CommentSubjectChar">
    <w:name w:val="Comment Subject Char"/>
    <w:link w:val="CommentSubject"/>
    <w:rsid w:val="00651E96"/>
    <w:rPr>
      <w:b/>
      <w:bCs/>
    </w:rPr>
  </w:style>
  <w:style w:type="character" w:customStyle="1" w:styleId="FooterChar">
    <w:name w:val="Footer Char"/>
    <w:link w:val="Footer"/>
    <w:uiPriority w:val="99"/>
    <w:rsid w:val="0020386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25A21-3AF1-45FB-AEEF-D29F8C4FB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3045</Words>
  <Characters>17357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Summary of Major Changes</vt:lpstr>
    </vt:vector>
  </TitlesOfParts>
  <Company>USTP</Company>
  <LinksUpToDate>false</LinksUpToDate>
  <CharactersWithSpaces>20362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Major Changes</dc:title>
  <dc:creator>United States Department of Justice</dc:creator>
  <cp:lastModifiedBy>US Trustee Program</cp:lastModifiedBy>
  <cp:revision>2</cp:revision>
  <cp:lastPrinted>2012-04-02T13:54:00Z</cp:lastPrinted>
  <dcterms:created xsi:type="dcterms:W3CDTF">2012-06-27T14:12:00Z</dcterms:created>
  <dcterms:modified xsi:type="dcterms:W3CDTF">2012-06-27T14:12:00Z</dcterms:modified>
</cp:coreProperties>
</file>